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EA" w:rsidRDefault="004D6C52" w:rsidP="001F72EA">
      <w:pPr>
        <w:pStyle w:val="NoSpacing"/>
        <w:jc w:val="center"/>
        <w:rPr>
          <w:b/>
          <w:sz w:val="32"/>
          <w:szCs w:val="32"/>
        </w:rPr>
      </w:pPr>
      <w:bookmarkStart w:id="0" w:name="_GoBack"/>
      <w:bookmarkEnd w:id="0"/>
      <w:r w:rsidRPr="001F72EA">
        <w:rPr>
          <w:b/>
          <w:sz w:val="32"/>
          <w:szCs w:val="32"/>
        </w:rPr>
        <w:t>North West L</w:t>
      </w:r>
      <w:r w:rsidR="001F72EA" w:rsidRPr="001F72EA">
        <w:rPr>
          <w:b/>
          <w:sz w:val="32"/>
          <w:szCs w:val="32"/>
        </w:rPr>
        <w:t>EF Engagement Report:</w:t>
      </w:r>
    </w:p>
    <w:p w:rsidR="001F72EA" w:rsidRPr="001F72EA" w:rsidRDefault="001F72EA" w:rsidP="001F72EA">
      <w:pPr>
        <w:pStyle w:val="NoSpacing"/>
        <w:jc w:val="center"/>
        <w:rPr>
          <w:b/>
          <w:sz w:val="16"/>
          <w:szCs w:val="16"/>
        </w:rPr>
      </w:pPr>
    </w:p>
    <w:p w:rsidR="001F72EA" w:rsidRDefault="001F72EA" w:rsidP="001F72EA">
      <w:pPr>
        <w:pStyle w:val="NoSpacing"/>
        <w:ind w:left="1440" w:firstLine="720"/>
        <w:rPr>
          <w:b/>
          <w:sz w:val="28"/>
          <w:szCs w:val="28"/>
        </w:rPr>
      </w:pPr>
      <w:r>
        <w:rPr>
          <w:b/>
          <w:sz w:val="28"/>
          <w:szCs w:val="28"/>
        </w:rPr>
        <w:t xml:space="preserve">GP Services and Primary Care </w:t>
      </w:r>
      <w:r w:rsidR="004D6C52" w:rsidRPr="00615D6B">
        <w:rPr>
          <w:b/>
          <w:noProof/>
          <w:color w:val="FF0000"/>
          <w:sz w:val="28"/>
          <w:szCs w:val="28"/>
          <w:lang w:eastAsia="en-GB"/>
        </w:rPr>
        <w:drawing>
          <wp:anchor distT="0" distB="0" distL="114300" distR="114300" simplePos="0" relativeHeight="251659264" behindDoc="0" locked="0" layoutInCell="1" allowOverlap="1">
            <wp:simplePos x="0" y="0"/>
            <wp:positionH relativeFrom="column">
              <wp:posOffset>-209550</wp:posOffset>
            </wp:positionH>
            <wp:positionV relativeFrom="paragraph">
              <wp:posOffset>-371475</wp:posOffset>
            </wp:positionV>
            <wp:extent cx="1085850" cy="67754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anchor>
        </w:drawing>
      </w:r>
      <w:r w:rsidR="004D6C52" w:rsidRPr="00615D6B">
        <w:rPr>
          <w:b/>
          <w:sz w:val="28"/>
          <w:szCs w:val="28"/>
        </w:rPr>
        <w:t>Plan</w:t>
      </w:r>
      <w:r>
        <w:rPr>
          <w:b/>
          <w:sz w:val="28"/>
          <w:szCs w:val="28"/>
        </w:rPr>
        <w:t xml:space="preserve">s and </w:t>
      </w:r>
    </w:p>
    <w:p w:rsidR="00615D6B" w:rsidRPr="00615D6B" w:rsidRDefault="001F72EA" w:rsidP="001F72EA">
      <w:pPr>
        <w:pStyle w:val="NoSpacing"/>
        <w:ind w:left="2160" w:firstLine="720"/>
        <w:rPr>
          <w:b/>
          <w:sz w:val="28"/>
          <w:szCs w:val="28"/>
        </w:rPr>
      </w:pPr>
      <w:r>
        <w:rPr>
          <w:b/>
          <w:sz w:val="28"/>
          <w:szCs w:val="28"/>
        </w:rPr>
        <w:t xml:space="preserve">Out of Hours Progress  </w:t>
      </w:r>
    </w:p>
    <w:p w:rsidR="00615D6B" w:rsidRPr="00615D6B" w:rsidRDefault="00615D6B" w:rsidP="004D6C52">
      <w:pPr>
        <w:pStyle w:val="NoSpacing"/>
        <w:jc w:val="center"/>
        <w:rPr>
          <w:b/>
          <w:sz w:val="28"/>
          <w:szCs w:val="28"/>
        </w:rPr>
      </w:pPr>
    </w:p>
    <w:p w:rsidR="004D6C52" w:rsidRPr="00AE7348" w:rsidRDefault="001F72EA" w:rsidP="004D6C52">
      <w:pPr>
        <w:pStyle w:val="NoSpacing"/>
        <w:jc w:val="center"/>
        <w:rPr>
          <w:b/>
          <w:sz w:val="24"/>
          <w:szCs w:val="24"/>
        </w:rPr>
      </w:pPr>
      <w:r>
        <w:rPr>
          <w:b/>
          <w:sz w:val="24"/>
          <w:szCs w:val="24"/>
        </w:rPr>
        <w:t>30 January 2020</w:t>
      </w:r>
      <w:r w:rsidR="00615D6B">
        <w:rPr>
          <w:b/>
          <w:sz w:val="24"/>
          <w:szCs w:val="24"/>
        </w:rPr>
        <w:t xml:space="preserve"> in Albany Centre, 44 Ashley Street, G3 6DS </w:t>
      </w:r>
    </w:p>
    <w:p w:rsidR="004D6C52" w:rsidRPr="00AE7348" w:rsidRDefault="004D6C52" w:rsidP="004D6C52">
      <w:pPr>
        <w:pStyle w:val="NoSpacing"/>
        <w:rPr>
          <w:b/>
          <w:sz w:val="24"/>
          <w:szCs w:val="24"/>
        </w:rPr>
      </w:pPr>
    </w:p>
    <w:p w:rsidR="004D6C52" w:rsidRPr="005D5A92" w:rsidRDefault="004D6C52" w:rsidP="00F70FDB">
      <w:pPr>
        <w:rPr>
          <w:b/>
          <w:sz w:val="24"/>
          <w:szCs w:val="24"/>
        </w:rPr>
      </w:pPr>
      <w:r w:rsidRPr="005D5A92">
        <w:rPr>
          <w:b/>
          <w:sz w:val="24"/>
          <w:szCs w:val="24"/>
        </w:rPr>
        <w:t>Introduction</w:t>
      </w:r>
    </w:p>
    <w:p w:rsidR="001F72EA" w:rsidRDefault="006868C8" w:rsidP="001F72EA">
      <w:pPr>
        <w:rPr>
          <w:b/>
          <w:sz w:val="28"/>
          <w:szCs w:val="28"/>
        </w:rPr>
      </w:pPr>
      <w:r>
        <w:rPr>
          <w:sz w:val="24"/>
          <w:szCs w:val="24"/>
        </w:rPr>
        <w:t xml:space="preserve">On </w:t>
      </w:r>
      <w:r w:rsidR="009B1B8C">
        <w:rPr>
          <w:sz w:val="24"/>
          <w:szCs w:val="24"/>
        </w:rPr>
        <w:t xml:space="preserve">the </w:t>
      </w:r>
      <w:r w:rsidR="001F72EA">
        <w:rPr>
          <w:sz w:val="24"/>
          <w:szCs w:val="24"/>
        </w:rPr>
        <w:t xml:space="preserve">30 January 2020 </w:t>
      </w:r>
      <w:r>
        <w:rPr>
          <w:sz w:val="24"/>
          <w:szCs w:val="24"/>
        </w:rPr>
        <w:t>in the Albany Centre</w:t>
      </w:r>
      <w:r w:rsidR="00CF03AF">
        <w:rPr>
          <w:sz w:val="24"/>
          <w:szCs w:val="24"/>
        </w:rPr>
        <w:t>,</w:t>
      </w:r>
      <w:r w:rsidR="001F72EA">
        <w:rPr>
          <w:sz w:val="24"/>
          <w:szCs w:val="24"/>
        </w:rPr>
        <w:t xml:space="preserve"> </w:t>
      </w:r>
      <w:r w:rsidR="001F72EA" w:rsidRPr="001F72EA">
        <w:rPr>
          <w:sz w:val="24"/>
          <w:szCs w:val="24"/>
        </w:rPr>
        <w:t xml:space="preserve">Robert Smith, chair of NW </w:t>
      </w:r>
      <w:r w:rsidR="001F72EA" w:rsidRPr="00F70FDB">
        <w:rPr>
          <w:sz w:val="24"/>
          <w:szCs w:val="24"/>
        </w:rPr>
        <w:t>Locality Engagement Forum</w:t>
      </w:r>
      <w:r w:rsidR="001F72EA">
        <w:rPr>
          <w:sz w:val="24"/>
          <w:szCs w:val="24"/>
        </w:rPr>
        <w:t xml:space="preserve"> (</w:t>
      </w:r>
      <w:r w:rsidR="001F72EA" w:rsidRPr="001F72EA">
        <w:rPr>
          <w:sz w:val="24"/>
          <w:szCs w:val="24"/>
        </w:rPr>
        <w:t>LEF</w:t>
      </w:r>
      <w:r w:rsidR="001F72EA">
        <w:rPr>
          <w:sz w:val="24"/>
          <w:szCs w:val="24"/>
        </w:rPr>
        <w:t xml:space="preserve">), welcomed representatives from </w:t>
      </w:r>
      <w:r w:rsidR="004D6C52" w:rsidRPr="00F70FDB">
        <w:rPr>
          <w:sz w:val="24"/>
          <w:szCs w:val="24"/>
        </w:rPr>
        <w:t xml:space="preserve">NW </w:t>
      </w:r>
      <w:r w:rsidR="001F72EA">
        <w:rPr>
          <w:sz w:val="24"/>
          <w:szCs w:val="24"/>
        </w:rPr>
        <w:t>LEF</w:t>
      </w:r>
      <w:r w:rsidR="004D6C52" w:rsidRPr="00F70FDB">
        <w:rPr>
          <w:sz w:val="24"/>
          <w:szCs w:val="24"/>
        </w:rPr>
        <w:t>, 3</w:t>
      </w:r>
      <w:r w:rsidR="004D6C52" w:rsidRPr="00F70FDB">
        <w:rPr>
          <w:sz w:val="24"/>
          <w:szCs w:val="24"/>
          <w:vertAlign w:val="superscript"/>
        </w:rPr>
        <w:t>rd</w:t>
      </w:r>
      <w:r w:rsidR="004D6C52" w:rsidRPr="00F70FDB">
        <w:rPr>
          <w:sz w:val="24"/>
          <w:szCs w:val="24"/>
        </w:rPr>
        <w:t xml:space="preserve"> Sector Proj</w:t>
      </w:r>
      <w:r>
        <w:rPr>
          <w:sz w:val="24"/>
          <w:szCs w:val="24"/>
        </w:rPr>
        <w:t>ect</w:t>
      </w:r>
      <w:r w:rsidR="001F72EA">
        <w:rPr>
          <w:sz w:val="24"/>
          <w:szCs w:val="24"/>
        </w:rPr>
        <w:t xml:space="preserve">s and the wider community to </w:t>
      </w:r>
      <w:r>
        <w:rPr>
          <w:sz w:val="24"/>
          <w:szCs w:val="24"/>
        </w:rPr>
        <w:t xml:space="preserve">an engagement </w:t>
      </w:r>
      <w:r w:rsidRPr="001F72EA">
        <w:rPr>
          <w:sz w:val="24"/>
          <w:szCs w:val="24"/>
        </w:rPr>
        <w:t xml:space="preserve">event </w:t>
      </w:r>
      <w:r w:rsidR="001F72EA" w:rsidRPr="001F72EA">
        <w:rPr>
          <w:sz w:val="24"/>
          <w:szCs w:val="24"/>
        </w:rPr>
        <w:t xml:space="preserve">focusing on changes to GP services, the Primary Care Implementation Plan and </w:t>
      </w:r>
      <w:r w:rsidR="001F72EA">
        <w:rPr>
          <w:sz w:val="24"/>
          <w:szCs w:val="24"/>
        </w:rPr>
        <w:t>the Review of Out of Hours</w:t>
      </w:r>
      <w:r w:rsidR="001F72EA" w:rsidRPr="001F72EA">
        <w:rPr>
          <w:sz w:val="24"/>
          <w:szCs w:val="24"/>
        </w:rPr>
        <w:t>.</w:t>
      </w:r>
      <w:r w:rsidR="001F72EA">
        <w:rPr>
          <w:b/>
          <w:sz w:val="28"/>
          <w:szCs w:val="28"/>
        </w:rPr>
        <w:t xml:space="preserve"> </w:t>
      </w:r>
    </w:p>
    <w:p w:rsidR="001F72EA" w:rsidRDefault="001F72EA" w:rsidP="00F70FDB">
      <w:pPr>
        <w:rPr>
          <w:sz w:val="24"/>
          <w:szCs w:val="24"/>
        </w:rPr>
      </w:pPr>
      <w:r w:rsidRPr="001F72EA">
        <w:rPr>
          <w:rFonts w:cs="Arial"/>
          <w:b/>
          <w:color w:val="222222"/>
          <w:sz w:val="24"/>
          <w:szCs w:val="24"/>
          <w:shd w:val="clear" w:color="auto" w:fill="FFFFFF"/>
        </w:rPr>
        <w:t>GP Services and Primary Care Implementation Plans</w:t>
      </w:r>
    </w:p>
    <w:p w:rsidR="001F72EA" w:rsidRDefault="001F72EA" w:rsidP="00F70FDB">
      <w:pPr>
        <w:rPr>
          <w:rFonts w:cs="Arial"/>
          <w:color w:val="222222"/>
          <w:sz w:val="24"/>
          <w:szCs w:val="24"/>
          <w:shd w:val="clear" w:color="auto" w:fill="FFFFFF"/>
        </w:rPr>
      </w:pPr>
      <w:r w:rsidRPr="001F72EA">
        <w:rPr>
          <w:rFonts w:cs="Arial"/>
          <w:color w:val="222222"/>
          <w:sz w:val="24"/>
          <w:szCs w:val="24"/>
          <w:shd w:val="clear" w:color="auto" w:fill="FFFFFF"/>
        </w:rPr>
        <w:t>Kerri Neylon, Clinical Director, NW Locality and Margaret Black, NW Locality, Primary Care Development Officer</w:t>
      </w:r>
      <w:r>
        <w:rPr>
          <w:rFonts w:cs="Arial"/>
          <w:color w:val="222222"/>
          <w:sz w:val="24"/>
          <w:szCs w:val="24"/>
          <w:shd w:val="clear" w:color="auto" w:fill="FFFFFF"/>
        </w:rPr>
        <w:t xml:space="preserve"> provided the meeting with a very </w:t>
      </w:r>
      <w:r w:rsidR="00DE287E">
        <w:rPr>
          <w:rFonts w:cs="Arial"/>
          <w:color w:val="222222"/>
          <w:sz w:val="24"/>
          <w:szCs w:val="24"/>
          <w:shd w:val="clear" w:color="auto" w:fill="FFFFFF"/>
        </w:rPr>
        <w:t xml:space="preserve">informative </w:t>
      </w:r>
      <w:r w:rsidR="00713E16">
        <w:rPr>
          <w:rFonts w:cs="Arial"/>
          <w:color w:val="222222"/>
          <w:sz w:val="24"/>
          <w:szCs w:val="24"/>
          <w:shd w:val="clear" w:color="auto" w:fill="FFFFFF"/>
        </w:rPr>
        <w:t>presentation (attached</w:t>
      </w:r>
      <w:r>
        <w:rPr>
          <w:rFonts w:cs="Arial"/>
          <w:color w:val="222222"/>
          <w:sz w:val="24"/>
          <w:szCs w:val="24"/>
          <w:shd w:val="clear" w:color="auto" w:fill="FFFFFF"/>
        </w:rPr>
        <w:t>) covering the background, challenges, changes to services and expected outcomes of the Primary Care Implementatio</w:t>
      </w:r>
      <w:r w:rsidR="00713E16">
        <w:rPr>
          <w:rFonts w:cs="Arial"/>
          <w:color w:val="222222"/>
          <w:sz w:val="24"/>
          <w:szCs w:val="24"/>
          <w:shd w:val="clear" w:color="auto" w:fill="FFFFFF"/>
        </w:rPr>
        <w:t>n Plan.  The following comments and</w:t>
      </w:r>
      <w:r>
        <w:rPr>
          <w:rFonts w:cs="Arial"/>
          <w:color w:val="222222"/>
          <w:sz w:val="24"/>
          <w:szCs w:val="24"/>
          <w:shd w:val="clear" w:color="auto" w:fill="FFFFFF"/>
        </w:rPr>
        <w:t xml:space="preserve"> discussion points </w:t>
      </w:r>
      <w:r w:rsidR="00CB6054">
        <w:rPr>
          <w:rFonts w:cs="Arial"/>
          <w:color w:val="222222"/>
          <w:sz w:val="24"/>
          <w:szCs w:val="24"/>
          <w:shd w:val="clear" w:color="auto" w:fill="FFFFFF"/>
        </w:rPr>
        <w:t xml:space="preserve">were </w:t>
      </w:r>
      <w:r>
        <w:rPr>
          <w:rFonts w:cs="Arial"/>
          <w:color w:val="222222"/>
          <w:sz w:val="24"/>
          <w:szCs w:val="24"/>
          <w:shd w:val="clear" w:color="auto" w:fill="FFFFFF"/>
        </w:rPr>
        <w:t>noted:</w:t>
      </w:r>
    </w:p>
    <w:p w:rsidR="001F72EA" w:rsidRDefault="001F72EA" w:rsidP="001F72EA">
      <w:pPr>
        <w:pStyle w:val="ListParagraph"/>
        <w:numPr>
          <w:ilvl w:val="0"/>
          <w:numId w:val="32"/>
        </w:numPr>
        <w:rPr>
          <w:sz w:val="24"/>
          <w:szCs w:val="24"/>
        </w:rPr>
      </w:pPr>
      <w:r>
        <w:rPr>
          <w:sz w:val="24"/>
          <w:szCs w:val="24"/>
        </w:rPr>
        <w:t>The demand and waiting times for physiotherapy services were too long</w:t>
      </w:r>
      <w:r w:rsidR="00713E16">
        <w:rPr>
          <w:sz w:val="24"/>
          <w:szCs w:val="24"/>
        </w:rPr>
        <w:t>.</w:t>
      </w:r>
    </w:p>
    <w:p w:rsidR="001F72EA" w:rsidRDefault="001F72EA" w:rsidP="001F72EA">
      <w:pPr>
        <w:pStyle w:val="ListParagraph"/>
        <w:numPr>
          <w:ilvl w:val="0"/>
          <w:numId w:val="32"/>
        </w:numPr>
        <w:rPr>
          <w:sz w:val="24"/>
          <w:szCs w:val="24"/>
        </w:rPr>
      </w:pPr>
      <w:r>
        <w:rPr>
          <w:sz w:val="24"/>
          <w:szCs w:val="24"/>
        </w:rPr>
        <w:t>The allocation of Link Workers in Glasgow is base</w:t>
      </w:r>
      <w:r w:rsidR="00713E16">
        <w:rPr>
          <w:sz w:val="24"/>
          <w:szCs w:val="24"/>
        </w:rPr>
        <w:t xml:space="preserve">d on deprivation but </w:t>
      </w:r>
      <w:r>
        <w:rPr>
          <w:sz w:val="24"/>
          <w:szCs w:val="24"/>
        </w:rPr>
        <w:t xml:space="preserve">there isn’t enough funding </w:t>
      </w:r>
      <w:r w:rsidR="00713E16">
        <w:rPr>
          <w:sz w:val="24"/>
          <w:szCs w:val="24"/>
        </w:rPr>
        <w:t xml:space="preserve">to provide a Link Worker </w:t>
      </w:r>
      <w:r>
        <w:rPr>
          <w:sz w:val="24"/>
          <w:szCs w:val="24"/>
        </w:rPr>
        <w:t xml:space="preserve">for all the areas of need in Glasgow. Therefore areas </w:t>
      </w:r>
      <w:r w:rsidR="00713E16">
        <w:rPr>
          <w:sz w:val="24"/>
          <w:szCs w:val="24"/>
        </w:rPr>
        <w:t xml:space="preserve">with ‘pockets of deprivation’ </w:t>
      </w:r>
      <w:r>
        <w:rPr>
          <w:sz w:val="24"/>
          <w:szCs w:val="24"/>
        </w:rPr>
        <w:t>such as Knightswood miss out.  However the GP Clusters, especially those covering a more diverse patient population, are looking at the best use</w:t>
      </w:r>
      <w:r w:rsidR="00713E16">
        <w:rPr>
          <w:sz w:val="24"/>
          <w:szCs w:val="24"/>
        </w:rPr>
        <w:t xml:space="preserve"> of the additional funding they</w:t>
      </w:r>
      <w:r>
        <w:rPr>
          <w:sz w:val="24"/>
          <w:szCs w:val="24"/>
        </w:rPr>
        <w:t xml:space="preserve"> are allocated and it may make sense to ‘p</w:t>
      </w:r>
      <w:r w:rsidR="00DE287E">
        <w:rPr>
          <w:sz w:val="24"/>
          <w:szCs w:val="24"/>
        </w:rPr>
        <w:t>oo</w:t>
      </w:r>
      <w:r>
        <w:rPr>
          <w:sz w:val="24"/>
          <w:szCs w:val="24"/>
        </w:rPr>
        <w:t>l’ resources</w:t>
      </w:r>
      <w:r w:rsidR="00713E16">
        <w:rPr>
          <w:sz w:val="24"/>
          <w:szCs w:val="24"/>
        </w:rPr>
        <w:t xml:space="preserve"> to develop a service</w:t>
      </w:r>
      <w:r>
        <w:rPr>
          <w:sz w:val="24"/>
          <w:szCs w:val="24"/>
        </w:rPr>
        <w:t>. These are discussion and decisions for GP Practices in the GP Clusters (7 – 8 GP Practice</w:t>
      </w:r>
      <w:r w:rsidR="00713E16">
        <w:rPr>
          <w:sz w:val="24"/>
          <w:szCs w:val="24"/>
        </w:rPr>
        <w:t>s in each Cluster).  Kerri advised that</w:t>
      </w:r>
      <w:r>
        <w:rPr>
          <w:sz w:val="24"/>
          <w:szCs w:val="24"/>
        </w:rPr>
        <w:t xml:space="preserve"> both Link Workers and pharmacy support can make a huge impact on a GPs time.</w:t>
      </w:r>
    </w:p>
    <w:p w:rsidR="001F72EA" w:rsidRDefault="00713E16" w:rsidP="001F72EA">
      <w:pPr>
        <w:pStyle w:val="ListParagraph"/>
        <w:numPr>
          <w:ilvl w:val="0"/>
          <w:numId w:val="32"/>
        </w:numPr>
        <w:rPr>
          <w:sz w:val="24"/>
          <w:szCs w:val="24"/>
        </w:rPr>
      </w:pPr>
      <w:r>
        <w:rPr>
          <w:sz w:val="24"/>
          <w:szCs w:val="24"/>
        </w:rPr>
        <w:t>It was</w:t>
      </w:r>
      <w:r w:rsidR="001F72EA">
        <w:rPr>
          <w:sz w:val="24"/>
          <w:szCs w:val="24"/>
        </w:rPr>
        <w:t xml:space="preserve"> agreed that it was an advantage when Community Pharmacists (local </w:t>
      </w:r>
      <w:r>
        <w:rPr>
          <w:sz w:val="24"/>
          <w:szCs w:val="24"/>
        </w:rPr>
        <w:t>chemists branches of Boots, Lloy</w:t>
      </w:r>
      <w:r w:rsidR="001F72EA">
        <w:rPr>
          <w:sz w:val="24"/>
          <w:szCs w:val="24"/>
        </w:rPr>
        <w:t>ds, etc) who are Independent Contractors, had space for a consultation room/facilities in the</w:t>
      </w:r>
      <w:r>
        <w:rPr>
          <w:sz w:val="24"/>
          <w:szCs w:val="24"/>
        </w:rPr>
        <w:t>ir</w:t>
      </w:r>
      <w:r w:rsidR="001F72EA">
        <w:rPr>
          <w:sz w:val="24"/>
          <w:szCs w:val="24"/>
        </w:rPr>
        <w:t xml:space="preserve"> shop. </w:t>
      </w:r>
    </w:p>
    <w:p w:rsidR="00B45D6D" w:rsidRDefault="00B45D6D" w:rsidP="001F72EA">
      <w:pPr>
        <w:pStyle w:val="ListParagraph"/>
        <w:numPr>
          <w:ilvl w:val="0"/>
          <w:numId w:val="32"/>
        </w:numPr>
        <w:rPr>
          <w:sz w:val="24"/>
          <w:szCs w:val="24"/>
        </w:rPr>
      </w:pPr>
      <w:r>
        <w:rPr>
          <w:sz w:val="24"/>
          <w:szCs w:val="24"/>
        </w:rPr>
        <w:t>There was a discussion on the role of physiotherapist and referral path</w:t>
      </w:r>
      <w:r w:rsidR="00713E16">
        <w:rPr>
          <w:sz w:val="24"/>
          <w:szCs w:val="24"/>
        </w:rPr>
        <w:t>ways into other services. It was noted that a full assess</w:t>
      </w:r>
      <w:r w:rsidR="003E369E">
        <w:rPr>
          <w:sz w:val="24"/>
          <w:szCs w:val="24"/>
        </w:rPr>
        <w:t>ment by a qualified practitioner was the best way to determine the correct course of treatment.</w:t>
      </w:r>
    </w:p>
    <w:p w:rsidR="00B45D6D" w:rsidRDefault="003E369E" w:rsidP="001F72EA">
      <w:pPr>
        <w:pStyle w:val="ListParagraph"/>
        <w:numPr>
          <w:ilvl w:val="0"/>
          <w:numId w:val="32"/>
        </w:numPr>
        <w:rPr>
          <w:sz w:val="24"/>
          <w:szCs w:val="24"/>
        </w:rPr>
      </w:pPr>
      <w:r>
        <w:rPr>
          <w:sz w:val="24"/>
          <w:szCs w:val="24"/>
        </w:rPr>
        <w:t xml:space="preserve">There </w:t>
      </w:r>
      <w:r w:rsidR="00B45D6D">
        <w:rPr>
          <w:sz w:val="24"/>
          <w:szCs w:val="24"/>
        </w:rPr>
        <w:t>needs to be investment in a r</w:t>
      </w:r>
      <w:r w:rsidR="00A06C9D">
        <w:rPr>
          <w:sz w:val="24"/>
          <w:szCs w:val="24"/>
        </w:rPr>
        <w:t xml:space="preserve">ange of services </w:t>
      </w:r>
      <w:r>
        <w:rPr>
          <w:sz w:val="24"/>
          <w:szCs w:val="24"/>
        </w:rPr>
        <w:t>such as</w:t>
      </w:r>
      <w:r w:rsidR="00A06C9D">
        <w:rPr>
          <w:sz w:val="24"/>
          <w:szCs w:val="24"/>
        </w:rPr>
        <w:t xml:space="preserve">, community supports </w:t>
      </w:r>
      <w:r>
        <w:rPr>
          <w:sz w:val="24"/>
          <w:szCs w:val="24"/>
        </w:rPr>
        <w:t xml:space="preserve">to </w:t>
      </w:r>
      <w:r w:rsidR="00B45D6D">
        <w:rPr>
          <w:sz w:val="24"/>
          <w:szCs w:val="24"/>
        </w:rPr>
        <w:t>managing self care, encouraging exercise etc</w:t>
      </w:r>
      <w:r w:rsidR="00A06C9D">
        <w:rPr>
          <w:sz w:val="24"/>
          <w:szCs w:val="24"/>
        </w:rPr>
        <w:t>,</w:t>
      </w:r>
      <w:r w:rsidR="00B45D6D">
        <w:rPr>
          <w:sz w:val="24"/>
          <w:szCs w:val="24"/>
        </w:rPr>
        <w:t xml:space="preserve"> to reduce reliance on anti depressants </w:t>
      </w:r>
      <w:r w:rsidR="00B45D6D">
        <w:rPr>
          <w:sz w:val="24"/>
          <w:szCs w:val="24"/>
        </w:rPr>
        <w:lastRenderedPageBreak/>
        <w:t xml:space="preserve">but GP’s </w:t>
      </w:r>
      <w:r w:rsidR="00A06C9D">
        <w:rPr>
          <w:sz w:val="24"/>
          <w:szCs w:val="24"/>
        </w:rPr>
        <w:t xml:space="preserve">also need time ‘within practice’ to discuss options and supports that </w:t>
      </w:r>
      <w:r w:rsidR="00B45D6D">
        <w:rPr>
          <w:sz w:val="24"/>
          <w:szCs w:val="24"/>
        </w:rPr>
        <w:t>patients</w:t>
      </w:r>
      <w:r w:rsidR="00A06C9D">
        <w:rPr>
          <w:sz w:val="24"/>
          <w:szCs w:val="24"/>
        </w:rPr>
        <w:t xml:space="preserve"> can access</w:t>
      </w:r>
      <w:r w:rsidR="00B45D6D">
        <w:rPr>
          <w:sz w:val="24"/>
          <w:szCs w:val="24"/>
        </w:rPr>
        <w:t>.  The additional staff and multidisciplinary teams should help create time for GP</w:t>
      </w:r>
      <w:r w:rsidR="00A06C9D">
        <w:rPr>
          <w:sz w:val="24"/>
          <w:szCs w:val="24"/>
        </w:rPr>
        <w:t>’s</w:t>
      </w:r>
      <w:r w:rsidR="00B45D6D">
        <w:rPr>
          <w:sz w:val="24"/>
          <w:szCs w:val="24"/>
        </w:rPr>
        <w:t xml:space="preserve"> to spend time with patients with more complex needs</w:t>
      </w:r>
      <w:r w:rsidR="00A06C9D">
        <w:rPr>
          <w:sz w:val="24"/>
          <w:szCs w:val="24"/>
        </w:rPr>
        <w:t>.</w:t>
      </w:r>
    </w:p>
    <w:p w:rsidR="00B45D6D" w:rsidRDefault="00B45D6D" w:rsidP="001F72EA">
      <w:pPr>
        <w:pStyle w:val="ListParagraph"/>
        <w:numPr>
          <w:ilvl w:val="0"/>
          <w:numId w:val="32"/>
        </w:numPr>
        <w:rPr>
          <w:sz w:val="24"/>
          <w:szCs w:val="24"/>
        </w:rPr>
      </w:pPr>
      <w:r>
        <w:rPr>
          <w:sz w:val="24"/>
          <w:szCs w:val="24"/>
        </w:rPr>
        <w:t>Link</w:t>
      </w:r>
      <w:r w:rsidR="00A14A60">
        <w:rPr>
          <w:sz w:val="24"/>
          <w:szCs w:val="24"/>
        </w:rPr>
        <w:t xml:space="preserve"> Workers</w:t>
      </w:r>
      <w:r>
        <w:rPr>
          <w:sz w:val="24"/>
          <w:szCs w:val="24"/>
        </w:rPr>
        <w:t xml:space="preserve"> </w:t>
      </w:r>
      <w:r w:rsidR="00A14A60">
        <w:rPr>
          <w:sz w:val="24"/>
          <w:szCs w:val="24"/>
        </w:rPr>
        <w:t>‘</w:t>
      </w:r>
      <w:r>
        <w:rPr>
          <w:sz w:val="24"/>
          <w:szCs w:val="24"/>
        </w:rPr>
        <w:t>map</w:t>
      </w:r>
      <w:r w:rsidR="00A14A60">
        <w:rPr>
          <w:sz w:val="24"/>
          <w:szCs w:val="24"/>
        </w:rPr>
        <w:t xml:space="preserve"> out’</w:t>
      </w:r>
      <w:r>
        <w:rPr>
          <w:sz w:val="24"/>
          <w:szCs w:val="24"/>
        </w:rPr>
        <w:t xml:space="preserve"> what community and voluntary services and supports are in the</w:t>
      </w:r>
      <w:r w:rsidR="00A14A60">
        <w:rPr>
          <w:sz w:val="24"/>
          <w:szCs w:val="24"/>
        </w:rPr>
        <w:t>ir</w:t>
      </w:r>
      <w:r>
        <w:rPr>
          <w:sz w:val="24"/>
          <w:szCs w:val="24"/>
        </w:rPr>
        <w:t xml:space="preserve"> area.  </w:t>
      </w:r>
      <w:r w:rsidR="00A14A60">
        <w:rPr>
          <w:sz w:val="24"/>
          <w:szCs w:val="24"/>
        </w:rPr>
        <w:t xml:space="preserve">Building up knowledge and sharing information is a really important aspect to improving access to services and support for patients.   Information about </w:t>
      </w:r>
      <w:r>
        <w:rPr>
          <w:sz w:val="24"/>
          <w:szCs w:val="24"/>
        </w:rPr>
        <w:t xml:space="preserve">Waverly Care </w:t>
      </w:r>
      <w:r w:rsidR="00A14A60">
        <w:rPr>
          <w:sz w:val="24"/>
          <w:szCs w:val="24"/>
        </w:rPr>
        <w:t xml:space="preserve">Support and Outreach </w:t>
      </w:r>
      <w:r>
        <w:rPr>
          <w:sz w:val="24"/>
          <w:szCs w:val="24"/>
        </w:rPr>
        <w:t xml:space="preserve">Project </w:t>
      </w:r>
      <w:r w:rsidR="00A14A60">
        <w:rPr>
          <w:sz w:val="24"/>
          <w:szCs w:val="24"/>
        </w:rPr>
        <w:t>will be circulated to all the Link Workers and GP’s in NW Locality.</w:t>
      </w:r>
      <w:r>
        <w:rPr>
          <w:sz w:val="24"/>
          <w:szCs w:val="24"/>
        </w:rPr>
        <w:t xml:space="preserve"> </w:t>
      </w:r>
    </w:p>
    <w:p w:rsidR="00A14A60" w:rsidRDefault="00A14A60" w:rsidP="001F72EA">
      <w:pPr>
        <w:pStyle w:val="ListParagraph"/>
        <w:numPr>
          <w:ilvl w:val="0"/>
          <w:numId w:val="32"/>
        </w:numPr>
        <w:rPr>
          <w:sz w:val="24"/>
          <w:szCs w:val="24"/>
        </w:rPr>
      </w:pPr>
      <w:r>
        <w:rPr>
          <w:sz w:val="24"/>
          <w:szCs w:val="24"/>
        </w:rPr>
        <w:t>An example was provided where a patient phoned into the GP for a repeat pre</w:t>
      </w:r>
      <w:r w:rsidR="003B4749">
        <w:rPr>
          <w:sz w:val="24"/>
          <w:szCs w:val="24"/>
        </w:rPr>
        <w:t>scription h</w:t>
      </w:r>
      <w:r>
        <w:rPr>
          <w:sz w:val="24"/>
          <w:szCs w:val="24"/>
        </w:rPr>
        <w:t>o</w:t>
      </w:r>
      <w:r w:rsidR="003B4749">
        <w:rPr>
          <w:sz w:val="24"/>
          <w:szCs w:val="24"/>
        </w:rPr>
        <w:t>wever the prescription was not</w:t>
      </w:r>
      <w:r>
        <w:rPr>
          <w:sz w:val="24"/>
          <w:szCs w:val="24"/>
        </w:rPr>
        <w:t xml:space="preserve"> forwarded to the Community Pharmacist</w:t>
      </w:r>
      <w:r w:rsidR="003B4749">
        <w:rPr>
          <w:sz w:val="24"/>
          <w:szCs w:val="24"/>
        </w:rPr>
        <w:t xml:space="preserve">. It took 3 days, a lot of phone calls and a number of visits </w:t>
      </w:r>
      <w:r w:rsidR="00F04CE4">
        <w:rPr>
          <w:sz w:val="24"/>
          <w:szCs w:val="24"/>
        </w:rPr>
        <w:t xml:space="preserve">to </w:t>
      </w:r>
      <w:r w:rsidR="003B4749">
        <w:rPr>
          <w:sz w:val="24"/>
          <w:szCs w:val="24"/>
        </w:rPr>
        <w:t xml:space="preserve">the </w:t>
      </w:r>
      <w:r w:rsidR="00F04CE4">
        <w:rPr>
          <w:sz w:val="24"/>
          <w:szCs w:val="24"/>
        </w:rPr>
        <w:t>Community Pharmacist</w:t>
      </w:r>
      <w:r w:rsidR="003B4749">
        <w:rPr>
          <w:sz w:val="24"/>
          <w:szCs w:val="24"/>
        </w:rPr>
        <w:t xml:space="preserve"> before the prescription was send by the GP Practice</w:t>
      </w:r>
      <w:r w:rsidR="00F04CE4">
        <w:rPr>
          <w:sz w:val="24"/>
          <w:szCs w:val="24"/>
        </w:rPr>
        <w:t>. This was not an isolated incident as other patients were experiencing the same delay</w:t>
      </w:r>
      <w:r>
        <w:rPr>
          <w:sz w:val="24"/>
          <w:szCs w:val="24"/>
        </w:rPr>
        <w:t xml:space="preserve">.  </w:t>
      </w:r>
      <w:r w:rsidR="00F04CE4">
        <w:rPr>
          <w:sz w:val="24"/>
          <w:szCs w:val="24"/>
        </w:rPr>
        <w:t>T</w:t>
      </w:r>
      <w:r>
        <w:rPr>
          <w:sz w:val="24"/>
          <w:szCs w:val="24"/>
        </w:rPr>
        <w:t xml:space="preserve">here needs to be better system/communication between GP Practices and local Community Pharmacist. </w:t>
      </w:r>
    </w:p>
    <w:p w:rsidR="00F04CE4" w:rsidRDefault="00F04CE4" w:rsidP="001F72EA">
      <w:pPr>
        <w:pStyle w:val="ListParagraph"/>
        <w:numPr>
          <w:ilvl w:val="0"/>
          <w:numId w:val="32"/>
        </w:numPr>
        <w:rPr>
          <w:sz w:val="24"/>
          <w:szCs w:val="24"/>
        </w:rPr>
      </w:pPr>
      <w:r>
        <w:rPr>
          <w:sz w:val="24"/>
          <w:szCs w:val="24"/>
        </w:rPr>
        <w:t xml:space="preserve">There were worries expressed about increasing demands on GP Practices and that those patients with severe, enduring and multiple health concerns were least able to access </w:t>
      </w:r>
      <w:r w:rsidR="006A4E0B">
        <w:rPr>
          <w:sz w:val="24"/>
          <w:szCs w:val="24"/>
        </w:rPr>
        <w:t xml:space="preserve">the </w:t>
      </w:r>
      <w:r>
        <w:rPr>
          <w:sz w:val="24"/>
          <w:szCs w:val="24"/>
        </w:rPr>
        <w:t>time and suppor</w:t>
      </w:r>
      <w:r w:rsidR="006A4E0B">
        <w:rPr>
          <w:sz w:val="24"/>
          <w:szCs w:val="24"/>
        </w:rPr>
        <w:t xml:space="preserve">t of </w:t>
      </w:r>
      <w:r w:rsidR="003B4749">
        <w:rPr>
          <w:sz w:val="24"/>
          <w:szCs w:val="24"/>
        </w:rPr>
        <w:t xml:space="preserve">the </w:t>
      </w:r>
      <w:r w:rsidR="006A4E0B">
        <w:rPr>
          <w:sz w:val="24"/>
          <w:szCs w:val="24"/>
        </w:rPr>
        <w:t xml:space="preserve">GP.  Kerri advised that </w:t>
      </w:r>
      <w:r>
        <w:rPr>
          <w:sz w:val="24"/>
          <w:szCs w:val="24"/>
        </w:rPr>
        <w:t>investing in multi-disciplinary t</w:t>
      </w:r>
      <w:r w:rsidR="00FD5F76">
        <w:rPr>
          <w:sz w:val="24"/>
          <w:szCs w:val="24"/>
        </w:rPr>
        <w:t xml:space="preserve">eams would hopefully </w:t>
      </w:r>
      <w:r>
        <w:rPr>
          <w:sz w:val="24"/>
          <w:szCs w:val="24"/>
        </w:rPr>
        <w:t>‘free up’ GP time in order to tackle health inequalities</w:t>
      </w:r>
      <w:r w:rsidR="006A4E0B">
        <w:rPr>
          <w:sz w:val="24"/>
          <w:szCs w:val="24"/>
        </w:rPr>
        <w:t xml:space="preserve"> and </w:t>
      </w:r>
      <w:r w:rsidR="003B4749">
        <w:rPr>
          <w:sz w:val="24"/>
          <w:szCs w:val="24"/>
        </w:rPr>
        <w:t xml:space="preserve">support the </w:t>
      </w:r>
      <w:r w:rsidR="006A4E0B">
        <w:rPr>
          <w:sz w:val="24"/>
          <w:szCs w:val="24"/>
        </w:rPr>
        <w:t>patient</w:t>
      </w:r>
      <w:r w:rsidR="003B4749">
        <w:rPr>
          <w:sz w:val="24"/>
          <w:szCs w:val="24"/>
        </w:rPr>
        <w:t>s</w:t>
      </w:r>
      <w:r w:rsidR="006A4E0B">
        <w:rPr>
          <w:sz w:val="24"/>
          <w:szCs w:val="24"/>
        </w:rPr>
        <w:t xml:space="preserve"> most in need</w:t>
      </w:r>
      <w:r>
        <w:rPr>
          <w:sz w:val="24"/>
          <w:szCs w:val="24"/>
        </w:rPr>
        <w:t>.</w:t>
      </w:r>
    </w:p>
    <w:p w:rsidR="006A4E0B" w:rsidRDefault="006A4E0B" w:rsidP="001F72EA">
      <w:pPr>
        <w:pStyle w:val="ListParagraph"/>
        <w:numPr>
          <w:ilvl w:val="0"/>
          <w:numId w:val="32"/>
        </w:numPr>
        <w:rPr>
          <w:sz w:val="24"/>
          <w:szCs w:val="24"/>
        </w:rPr>
      </w:pPr>
      <w:r>
        <w:rPr>
          <w:sz w:val="24"/>
          <w:szCs w:val="24"/>
        </w:rPr>
        <w:t>There were a number of comments about the need for a general education campaign for the public on ‘what health service to access and when’</w:t>
      </w:r>
      <w:r w:rsidR="003B4749">
        <w:rPr>
          <w:sz w:val="24"/>
          <w:szCs w:val="24"/>
        </w:rPr>
        <w:t>.</w:t>
      </w:r>
    </w:p>
    <w:p w:rsidR="00432ED0" w:rsidRDefault="006A4E0B" w:rsidP="001F72EA">
      <w:pPr>
        <w:pStyle w:val="ListParagraph"/>
        <w:numPr>
          <w:ilvl w:val="0"/>
          <w:numId w:val="32"/>
        </w:numPr>
        <w:rPr>
          <w:sz w:val="24"/>
          <w:szCs w:val="24"/>
        </w:rPr>
      </w:pPr>
      <w:r>
        <w:rPr>
          <w:sz w:val="24"/>
          <w:szCs w:val="24"/>
        </w:rPr>
        <w:t xml:space="preserve">There were concerns about the utilising the ‘mish mash’ of independent contractors.  </w:t>
      </w:r>
      <w:r w:rsidR="00DE287E">
        <w:rPr>
          <w:sz w:val="24"/>
          <w:szCs w:val="24"/>
        </w:rPr>
        <w:t xml:space="preserve">There were comments that some opticians are focussed on selling spectacles and some dentists seem to prioritise cosmetic treatments and that it is difficult for members of the public to know which practice to choose. </w:t>
      </w:r>
    </w:p>
    <w:p w:rsidR="006A4E0B" w:rsidRDefault="003B4749" w:rsidP="001F72EA">
      <w:pPr>
        <w:pStyle w:val="ListParagraph"/>
        <w:numPr>
          <w:ilvl w:val="0"/>
          <w:numId w:val="32"/>
        </w:numPr>
        <w:rPr>
          <w:sz w:val="24"/>
          <w:szCs w:val="24"/>
        </w:rPr>
      </w:pPr>
      <w:r w:rsidRPr="00DE287E">
        <w:rPr>
          <w:sz w:val="24"/>
          <w:szCs w:val="24"/>
        </w:rPr>
        <w:t xml:space="preserve">As GP Practices change and develop so will the role of the </w:t>
      </w:r>
      <w:r w:rsidR="006A4E0B" w:rsidRPr="00DE287E">
        <w:rPr>
          <w:sz w:val="24"/>
          <w:szCs w:val="24"/>
        </w:rPr>
        <w:t xml:space="preserve">receptionist and </w:t>
      </w:r>
      <w:r w:rsidRPr="00DE287E">
        <w:rPr>
          <w:sz w:val="24"/>
          <w:szCs w:val="24"/>
        </w:rPr>
        <w:t xml:space="preserve">all the </w:t>
      </w:r>
      <w:r w:rsidR="00C21A3A">
        <w:rPr>
          <w:sz w:val="24"/>
          <w:szCs w:val="24"/>
        </w:rPr>
        <w:t>practice staff who will all become more knowledgeable and proactive at signposting patients to services.  Additional training of all practice staff is ongoing and the education of the public on ‘what to expect from your GP Practice’ was noted.</w:t>
      </w:r>
      <w:r w:rsidR="00DE287E">
        <w:rPr>
          <w:sz w:val="24"/>
          <w:szCs w:val="24"/>
        </w:rPr>
        <w:t xml:space="preserve"> It was noted that leaflets / materials need to reflect that levels of literacy across the city are not high. </w:t>
      </w:r>
    </w:p>
    <w:p w:rsidR="00785E06" w:rsidRDefault="00DE287E" w:rsidP="00432ED0">
      <w:pPr>
        <w:pStyle w:val="ListParagraph"/>
        <w:numPr>
          <w:ilvl w:val="0"/>
          <w:numId w:val="32"/>
        </w:numPr>
        <w:rPr>
          <w:sz w:val="24"/>
          <w:szCs w:val="24"/>
        </w:rPr>
      </w:pPr>
      <w:r>
        <w:rPr>
          <w:sz w:val="24"/>
          <w:szCs w:val="24"/>
        </w:rPr>
        <w:t xml:space="preserve">It was noted that the physical health needs of people who have mental health issues can be neglected. </w:t>
      </w:r>
      <w:r w:rsidR="00432ED0">
        <w:rPr>
          <w:sz w:val="24"/>
          <w:szCs w:val="24"/>
        </w:rPr>
        <w:t>T</w:t>
      </w:r>
      <w:r>
        <w:rPr>
          <w:sz w:val="24"/>
          <w:szCs w:val="24"/>
        </w:rPr>
        <w:t>here has been some inmprovement in this regard with the introduction of a Physcal Health Policy, and it is hoped that as the new GP contract takes effect, it will be become much more usual to have 15 minute appointments with GPs and this should be helpful for more complex consultations.</w:t>
      </w:r>
    </w:p>
    <w:p w:rsidR="00DE287E" w:rsidRPr="00432ED0" w:rsidRDefault="00041982" w:rsidP="00432ED0">
      <w:pPr>
        <w:pStyle w:val="ListParagraph"/>
        <w:numPr>
          <w:ilvl w:val="0"/>
          <w:numId w:val="32"/>
        </w:numPr>
        <w:rPr>
          <w:sz w:val="24"/>
          <w:szCs w:val="24"/>
        </w:rPr>
      </w:pPr>
      <w:r w:rsidRPr="00432ED0">
        <w:rPr>
          <w:sz w:val="24"/>
          <w:szCs w:val="24"/>
        </w:rPr>
        <w:t>The introduction of the new contract will be evaluated both locally and nationally.</w:t>
      </w:r>
    </w:p>
    <w:p w:rsidR="00041982" w:rsidRPr="00DE287E" w:rsidRDefault="00041982" w:rsidP="001F72EA">
      <w:pPr>
        <w:pStyle w:val="ListParagraph"/>
        <w:numPr>
          <w:ilvl w:val="0"/>
          <w:numId w:val="32"/>
        </w:numPr>
        <w:rPr>
          <w:sz w:val="24"/>
          <w:szCs w:val="24"/>
        </w:rPr>
      </w:pPr>
      <w:r>
        <w:rPr>
          <w:sz w:val="24"/>
          <w:szCs w:val="24"/>
        </w:rPr>
        <w:t xml:space="preserve">There was discussion of the lack of GP facilities in the city centre and that this reflects that until recently, there were few people living in the centre of the city. </w:t>
      </w:r>
      <w:r>
        <w:rPr>
          <w:sz w:val="24"/>
          <w:szCs w:val="24"/>
        </w:rPr>
        <w:lastRenderedPageBreak/>
        <w:t xml:space="preserve">There are GP practices based in the </w:t>
      </w:r>
      <w:proofErr w:type="spellStart"/>
      <w:r>
        <w:rPr>
          <w:sz w:val="24"/>
          <w:szCs w:val="24"/>
        </w:rPr>
        <w:t>Townhead</w:t>
      </w:r>
      <w:proofErr w:type="spellEnd"/>
      <w:r>
        <w:rPr>
          <w:sz w:val="24"/>
          <w:szCs w:val="24"/>
        </w:rPr>
        <w:t xml:space="preserve"> H</w:t>
      </w:r>
      <w:r w:rsidR="00785E06">
        <w:rPr>
          <w:sz w:val="24"/>
          <w:szCs w:val="24"/>
        </w:rPr>
        <w:t xml:space="preserve">ealth </w:t>
      </w:r>
      <w:r>
        <w:rPr>
          <w:sz w:val="24"/>
          <w:szCs w:val="24"/>
        </w:rPr>
        <w:t>C</w:t>
      </w:r>
      <w:r w:rsidR="00785E06">
        <w:rPr>
          <w:sz w:val="24"/>
          <w:szCs w:val="24"/>
        </w:rPr>
        <w:t>entre</w:t>
      </w:r>
      <w:r>
        <w:rPr>
          <w:sz w:val="24"/>
          <w:szCs w:val="24"/>
        </w:rPr>
        <w:t xml:space="preserve"> at the G</w:t>
      </w:r>
      <w:r w:rsidR="00785E06">
        <w:rPr>
          <w:sz w:val="24"/>
          <w:szCs w:val="24"/>
        </w:rPr>
        <w:t xml:space="preserve">lasgow </w:t>
      </w:r>
      <w:r>
        <w:rPr>
          <w:sz w:val="24"/>
          <w:szCs w:val="24"/>
        </w:rPr>
        <w:t>R</w:t>
      </w:r>
      <w:r w:rsidR="00785E06">
        <w:rPr>
          <w:sz w:val="24"/>
          <w:szCs w:val="24"/>
        </w:rPr>
        <w:t xml:space="preserve">oyal </w:t>
      </w:r>
      <w:r>
        <w:rPr>
          <w:sz w:val="24"/>
          <w:szCs w:val="24"/>
        </w:rPr>
        <w:t>I</w:t>
      </w:r>
      <w:r w:rsidR="00785E06">
        <w:rPr>
          <w:sz w:val="24"/>
          <w:szCs w:val="24"/>
        </w:rPr>
        <w:t>nfirmary</w:t>
      </w:r>
      <w:r>
        <w:rPr>
          <w:sz w:val="24"/>
          <w:szCs w:val="24"/>
        </w:rPr>
        <w:t xml:space="preserve">, and in Argyle Street and St George’s Cross. </w:t>
      </w:r>
    </w:p>
    <w:p w:rsidR="001F72EA" w:rsidRPr="00DE287E" w:rsidRDefault="00E938D5" w:rsidP="001F72EA">
      <w:pPr>
        <w:rPr>
          <w:b/>
          <w:sz w:val="24"/>
          <w:szCs w:val="24"/>
        </w:rPr>
      </w:pPr>
      <w:r w:rsidRPr="00DE287E">
        <w:rPr>
          <w:b/>
          <w:sz w:val="24"/>
          <w:szCs w:val="24"/>
        </w:rPr>
        <w:t>Review of Out of Hours – Progress Update</w:t>
      </w:r>
    </w:p>
    <w:p w:rsidR="001F72EA" w:rsidRPr="00DE287E" w:rsidRDefault="00C21A3A" w:rsidP="001F72EA">
      <w:pPr>
        <w:rPr>
          <w:sz w:val="24"/>
          <w:szCs w:val="24"/>
        </w:rPr>
      </w:pPr>
      <w:r>
        <w:rPr>
          <w:rFonts w:cs="Arial"/>
          <w:color w:val="222222"/>
          <w:sz w:val="24"/>
          <w:szCs w:val="24"/>
          <w:shd w:val="clear" w:color="auto" w:fill="FFFFFF"/>
        </w:rPr>
        <w:t>Kirsty Orr, Planning Manager, Review of Out of Hours Services (OOH), provided the audience with a presentation on the work that has been undertaken so far in relation to the Review of Out of Hours Services. (attached)</w:t>
      </w:r>
    </w:p>
    <w:p w:rsidR="00E84EC4" w:rsidRDefault="00C21A3A" w:rsidP="00945B4E">
      <w:pPr>
        <w:rPr>
          <w:sz w:val="24"/>
          <w:szCs w:val="24"/>
        </w:rPr>
      </w:pPr>
      <w:r>
        <w:rPr>
          <w:rFonts w:ascii="Calibri" w:hAnsi="Calibri"/>
          <w:sz w:val="24"/>
          <w:szCs w:val="24"/>
        </w:rPr>
        <w:t>The review covered the whole of the Greater Glasgow and Clyde Board area and encompassed a number of services across the Health and Social Care Out of Hours system including: Home Care; District Nursing, Mental Health Services, Emergency Social Work and G</w:t>
      </w:r>
      <w:r w:rsidR="00E938D5" w:rsidRPr="00E938D5">
        <w:rPr>
          <w:rFonts w:ascii="Calibri" w:hAnsi="Calibri"/>
          <w:sz w:val="24"/>
          <w:szCs w:val="24"/>
        </w:rPr>
        <w:t>P O</w:t>
      </w:r>
      <w:r w:rsidR="00E938D5">
        <w:rPr>
          <w:rFonts w:ascii="Calibri" w:hAnsi="Calibri"/>
          <w:sz w:val="24"/>
          <w:szCs w:val="24"/>
        </w:rPr>
        <w:t xml:space="preserve">ut of </w:t>
      </w:r>
      <w:r w:rsidR="00E938D5" w:rsidRPr="00E938D5">
        <w:rPr>
          <w:rFonts w:ascii="Calibri" w:hAnsi="Calibri"/>
          <w:sz w:val="24"/>
          <w:szCs w:val="24"/>
        </w:rPr>
        <w:t>H</w:t>
      </w:r>
      <w:r w:rsidR="00E938D5">
        <w:rPr>
          <w:rFonts w:ascii="Calibri" w:hAnsi="Calibri"/>
          <w:sz w:val="24"/>
          <w:szCs w:val="24"/>
        </w:rPr>
        <w:t xml:space="preserve">ours service. </w:t>
      </w:r>
      <w:r w:rsidR="00945B4E">
        <w:rPr>
          <w:rFonts w:ascii="Calibri" w:hAnsi="Calibri"/>
          <w:sz w:val="24"/>
          <w:szCs w:val="24"/>
        </w:rPr>
        <w:t>After the scoping and mapping exercise and several development sessions with all the key partners t</w:t>
      </w:r>
      <w:r w:rsidR="00E938D5">
        <w:rPr>
          <w:rFonts w:ascii="Calibri" w:hAnsi="Calibri"/>
          <w:sz w:val="24"/>
          <w:szCs w:val="24"/>
        </w:rPr>
        <w:t xml:space="preserve">he recommendation was to create a professional facing </w:t>
      </w:r>
      <w:r w:rsidR="00E938D5" w:rsidRPr="00E938D5">
        <w:rPr>
          <w:sz w:val="24"/>
          <w:szCs w:val="24"/>
        </w:rPr>
        <w:t>Urgent Care Resource Hub</w:t>
      </w:r>
      <w:r w:rsidR="00E938D5">
        <w:rPr>
          <w:sz w:val="24"/>
          <w:szCs w:val="24"/>
        </w:rPr>
        <w:t xml:space="preserve"> (UCRH)</w:t>
      </w:r>
      <w:r w:rsidR="00945B4E">
        <w:rPr>
          <w:rFonts w:ascii="Calibri" w:hAnsi="Calibri"/>
          <w:sz w:val="24"/>
          <w:szCs w:val="24"/>
        </w:rPr>
        <w:t xml:space="preserve">. </w:t>
      </w:r>
      <w:r w:rsidR="00945B4E">
        <w:rPr>
          <w:sz w:val="24"/>
          <w:szCs w:val="24"/>
        </w:rPr>
        <w:t xml:space="preserve">It was agreed that </w:t>
      </w:r>
      <w:r w:rsidR="00E938D5" w:rsidRPr="00E938D5">
        <w:rPr>
          <w:sz w:val="24"/>
          <w:szCs w:val="24"/>
        </w:rPr>
        <w:t>Glasgow City’</w:t>
      </w:r>
      <w:r w:rsidR="00945B4E">
        <w:rPr>
          <w:sz w:val="24"/>
          <w:szCs w:val="24"/>
        </w:rPr>
        <w:t xml:space="preserve">s HSCP would be the first to set up </w:t>
      </w:r>
      <w:r w:rsidR="00945B4E" w:rsidRPr="00E938D5">
        <w:rPr>
          <w:sz w:val="24"/>
          <w:szCs w:val="24"/>
        </w:rPr>
        <w:t>UCRH</w:t>
      </w:r>
      <w:r w:rsidR="00945B4E">
        <w:rPr>
          <w:sz w:val="24"/>
          <w:szCs w:val="24"/>
        </w:rPr>
        <w:t xml:space="preserve"> as Glasgow ‘hosted’ a number of Board wide OOH services.  A location has been identified and is expected that the URCH will ‘go live’ in the summer of 2020.</w:t>
      </w:r>
    </w:p>
    <w:p w:rsidR="00CB6054" w:rsidRDefault="00945B4E" w:rsidP="001F72EA">
      <w:pPr>
        <w:rPr>
          <w:rFonts w:ascii="Calibri" w:hAnsi="Calibri"/>
          <w:b/>
          <w:sz w:val="24"/>
          <w:szCs w:val="24"/>
        </w:rPr>
      </w:pPr>
      <w:r>
        <w:rPr>
          <w:rFonts w:ascii="Calibri" w:hAnsi="Calibri"/>
          <w:sz w:val="24"/>
          <w:szCs w:val="24"/>
        </w:rPr>
        <w:t xml:space="preserve">The UCRH is a professional facing development which should deliver a more streamline and co-ordinated OOH service to the public as there will be co location of some teams, linked IT systems and skilled call handlers.  </w:t>
      </w:r>
      <w:r w:rsidR="00CB6054" w:rsidRPr="00CB6054">
        <w:rPr>
          <w:rFonts w:ascii="Calibri" w:hAnsi="Calibri"/>
          <w:sz w:val="24"/>
          <w:szCs w:val="24"/>
        </w:rPr>
        <w:t xml:space="preserve">It is </w:t>
      </w:r>
      <w:r w:rsidR="00CB6054">
        <w:rPr>
          <w:rFonts w:ascii="Calibri" w:hAnsi="Calibri"/>
          <w:sz w:val="24"/>
          <w:szCs w:val="24"/>
        </w:rPr>
        <w:t>also anticipated that co-ordina</w:t>
      </w:r>
      <w:r w:rsidR="00CB6054" w:rsidRPr="00CB6054">
        <w:rPr>
          <w:rFonts w:ascii="Calibri" w:hAnsi="Calibri"/>
          <w:sz w:val="24"/>
          <w:szCs w:val="24"/>
        </w:rPr>
        <w:t>tion between OOH services and ‘daytime’ services will</w:t>
      </w:r>
      <w:r w:rsidR="00CB6054">
        <w:rPr>
          <w:rFonts w:ascii="Calibri" w:hAnsi="Calibri"/>
          <w:sz w:val="24"/>
          <w:szCs w:val="24"/>
        </w:rPr>
        <w:t xml:space="preserve"> improve along with closer links with 3</w:t>
      </w:r>
      <w:r w:rsidR="00CB6054" w:rsidRPr="00CB6054">
        <w:rPr>
          <w:rFonts w:ascii="Calibri" w:hAnsi="Calibri"/>
          <w:sz w:val="24"/>
          <w:szCs w:val="24"/>
          <w:vertAlign w:val="superscript"/>
        </w:rPr>
        <w:t>rd</w:t>
      </w:r>
      <w:r w:rsidR="00CB6054">
        <w:rPr>
          <w:rFonts w:ascii="Calibri" w:hAnsi="Calibri"/>
          <w:sz w:val="24"/>
          <w:szCs w:val="24"/>
        </w:rPr>
        <w:t xml:space="preserve"> sector provision in the community.</w:t>
      </w:r>
      <w:r w:rsidR="00CB6054">
        <w:rPr>
          <w:rFonts w:ascii="Calibri" w:hAnsi="Calibri"/>
          <w:b/>
          <w:sz w:val="24"/>
          <w:szCs w:val="24"/>
        </w:rPr>
        <w:t xml:space="preserve"> </w:t>
      </w:r>
    </w:p>
    <w:p w:rsidR="00CB6054" w:rsidRDefault="00945B4E" w:rsidP="001F72EA">
      <w:pPr>
        <w:rPr>
          <w:rFonts w:ascii="Calibri" w:hAnsi="Calibri"/>
          <w:b/>
          <w:sz w:val="24"/>
          <w:szCs w:val="24"/>
        </w:rPr>
      </w:pPr>
      <w:r w:rsidRPr="00945B4E">
        <w:rPr>
          <w:rFonts w:ascii="Calibri" w:hAnsi="Calibri"/>
          <w:b/>
          <w:sz w:val="24"/>
          <w:szCs w:val="24"/>
        </w:rPr>
        <w:t>How patients and carers access OOH services will not change</w:t>
      </w:r>
      <w:r>
        <w:rPr>
          <w:rFonts w:ascii="Calibri" w:hAnsi="Calibri"/>
          <w:b/>
          <w:sz w:val="24"/>
          <w:szCs w:val="24"/>
        </w:rPr>
        <w:t>.</w:t>
      </w:r>
      <w:r w:rsidR="00CB6054">
        <w:rPr>
          <w:rFonts w:ascii="Calibri" w:hAnsi="Calibri"/>
          <w:b/>
          <w:sz w:val="24"/>
          <w:szCs w:val="24"/>
        </w:rPr>
        <w:t xml:space="preserve"> </w:t>
      </w:r>
    </w:p>
    <w:p w:rsidR="001F72EA" w:rsidRDefault="00CB6054" w:rsidP="001F72EA">
      <w:pPr>
        <w:rPr>
          <w:rFonts w:cs="Arial"/>
          <w:color w:val="222222"/>
          <w:sz w:val="24"/>
          <w:szCs w:val="24"/>
          <w:shd w:val="clear" w:color="auto" w:fill="FFFFFF"/>
        </w:rPr>
      </w:pPr>
      <w:r>
        <w:rPr>
          <w:rFonts w:ascii="Calibri" w:hAnsi="Calibri"/>
          <w:b/>
          <w:sz w:val="24"/>
          <w:szCs w:val="24"/>
        </w:rPr>
        <w:t xml:space="preserve"> </w:t>
      </w:r>
      <w:r>
        <w:rPr>
          <w:rFonts w:cs="Arial"/>
          <w:color w:val="222222"/>
          <w:sz w:val="24"/>
          <w:szCs w:val="24"/>
          <w:shd w:val="clear" w:color="auto" w:fill="FFFFFF"/>
        </w:rPr>
        <w:t>The following comments and discussion points were noted:</w:t>
      </w:r>
    </w:p>
    <w:p w:rsidR="00CB6054" w:rsidRDefault="00CB6054" w:rsidP="00CB6054">
      <w:pPr>
        <w:pStyle w:val="ListParagraph"/>
        <w:numPr>
          <w:ilvl w:val="0"/>
          <w:numId w:val="35"/>
        </w:numPr>
        <w:rPr>
          <w:sz w:val="24"/>
          <w:szCs w:val="24"/>
        </w:rPr>
      </w:pPr>
      <w:r>
        <w:rPr>
          <w:sz w:val="24"/>
          <w:szCs w:val="24"/>
        </w:rPr>
        <w:t xml:space="preserve">Edinburgh Gateway is a good example of a single point of access to information and services for patients and service users.  </w:t>
      </w:r>
    </w:p>
    <w:p w:rsidR="00CB6054" w:rsidRDefault="00CB6054" w:rsidP="00CB6054">
      <w:pPr>
        <w:pStyle w:val="ListParagraph"/>
        <w:numPr>
          <w:ilvl w:val="0"/>
          <w:numId w:val="35"/>
        </w:numPr>
        <w:rPr>
          <w:sz w:val="24"/>
          <w:szCs w:val="24"/>
        </w:rPr>
      </w:pPr>
      <w:r>
        <w:rPr>
          <w:sz w:val="24"/>
          <w:szCs w:val="24"/>
        </w:rPr>
        <w:t>Kirsty reassured the audience that this review is not about a reduction of teams or services it’s about better co-ordination and integration o</w:t>
      </w:r>
      <w:r w:rsidR="004F24FF">
        <w:rPr>
          <w:sz w:val="24"/>
          <w:szCs w:val="24"/>
        </w:rPr>
        <w:t>f exiting services.  The review will also contribute to sustaining services as in recent years it has become increasingly</w:t>
      </w:r>
      <w:r>
        <w:rPr>
          <w:sz w:val="24"/>
          <w:szCs w:val="24"/>
        </w:rPr>
        <w:t xml:space="preserve"> difficult to recruit and retain staff to Out of Hours services and teams</w:t>
      </w:r>
      <w:r w:rsidR="004F24FF">
        <w:rPr>
          <w:sz w:val="24"/>
          <w:szCs w:val="24"/>
        </w:rPr>
        <w:t>.</w:t>
      </w:r>
    </w:p>
    <w:p w:rsidR="004F24FF" w:rsidRDefault="004F24FF" w:rsidP="00CB6054">
      <w:pPr>
        <w:pStyle w:val="ListParagraph"/>
        <w:numPr>
          <w:ilvl w:val="0"/>
          <w:numId w:val="35"/>
        </w:numPr>
        <w:rPr>
          <w:sz w:val="24"/>
          <w:szCs w:val="24"/>
        </w:rPr>
      </w:pPr>
      <w:r>
        <w:rPr>
          <w:sz w:val="24"/>
          <w:szCs w:val="24"/>
        </w:rPr>
        <w:t>There was reassurance that GPs would still provide home visits as required – the GP OOH service will be part of the UCRH.</w:t>
      </w:r>
    </w:p>
    <w:p w:rsidR="004F24FF" w:rsidRDefault="004F24FF" w:rsidP="00CB6054">
      <w:pPr>
        <w:pStyle w:val="ListParagraph"/>
        <w:numPr>
          <w:ilvl w:val="0"/>
          <w:numId w:val="35"/>
        </w:numPr>
        <w:rPr>
          <w:sz w:val="24"/>
          <w:szCs w:val="24"/>
        </w:rPr>
      </w:pPr>
      <w:r>
        <w:rPr>
          <w:sz w:val="24"/>
          <w:szCs w:val="24"/>
        </w:rPr>
        <w:t>It was noted that the 3</w:t>
      </w:r>
      <w:r w:rsidRPr="004F24FF">
        <w:rPr>
          <w:sz w:val="24"/>
          <w:szCs w:val="24"/>
          <w:vertAlign w:val="superscript"/>
        </w:rPr>
        <w:t>rd</w:t>
      </w:r>
      <w:r>
        <w:rPr>
          <w:sz w:val="24"/>
          <w:szCs w:val="24"/>
        </w:rPr>
        <w:t xml:space="preserve"> and voluntary sector projects and service have had cuts in budgets and funding over the last few years and find it difficult to meet demands.  Kirsty advised </w:t>
      </w:r>
      <w:r w:rsidR="00380714">
        <w:rPr>
          <w:sz w:val="24"/>
          <w:szCs w:val="24"/>
        </w:rPr>
        <w:t>the meeting that the</w:t>
      </w:r>
      <w:r>
        <w:rPr>
          <w:sz w:val="24"/>
          <w:szCs w:val="24"/>
        </w:rPr>
        <w:t xml:space="preserve"> HSCP had identified a sum of money which would be invested in 3</w:t>
      </w:r>
      <w:r w:rsidRPr="004F24FF">
        <w:rPr>
          <w:sz w:val="24"/>
          <w:szCs w:val="24"/>
          <w:vertAlign w:val="superscript"/>
        </w:rPr>
        <w:t>rd</w:t>
      </w:r>
      <w:r>
        <w:rPr>
          <w:sz w:val="24"/>
          <w:szCs w:val="24"/>
        </w:rPr>
        <w:t xml:space="preserve"> and voluntary sector projects as part of the ‘Maximising Independence’ work stream.</w:t>
      </w:r>
    </w:p>
    <w:p w:rsidR="00A24470" w:rsidRDefault="004F24FF" w:rsidP="00CB6054">
      <w:pPr>
        <w:pStyle w:val="ListParagraph"/>
        <w:numPr>
          <w:ilvl w:val="0"/>
          <w:numId w:val="35"/>
        </w:numPr>
        <w:rPr>
          <w:sz w:val="24"/>
          <w:szCs w:val="24"/>
        </w:rPr>
      </w:pPr>
      <w:r>
        <w:rPr>
          <w:sz w:val="24"/>
          <w:szCs w:val="24"/>
        </w:rPr>
        <w:t>There were a number of comments on ‘when does the p</w:t>
      </w:r>
      <w:r w:rsidR="00380714">
        <w:rPr>
          <w:sz w:val="24"/>
          <w:szCs w:val="24"/>
        </w:rPr>
        <w:t>ublic know who and when to contact</w:t>
      </w:r>
      <w:r w:rsidR="00B0588F">
        <w:rPr>
          <w:sz w:val="24"/>
          <w:szCs w:val="24"/>
        </w:rPr>
        <w:t>’ for support</w:t>
      </w:r>
      <w:r w:rsidR="00380714">
        <w:rPr>
          <w:sz w:val="24"/>
          <w:szCs w:val="24"/>
        </w:rPr>
        <w:t xml:space="preserve"> especially ‘out of hours’</w:t>
      </w:r>
      <w:r w:rsidR="00B0588F">
        <w:rPr>
          <w:sz w:val="24"/>
          <w:szCs w:val="24"/>
        </w:rPr>
        <w:t xml:space="preserve">.  </w:t>
      </w:r>
      <w:r w:rsidR="00A81F54">
        <w:rPr>
          <w:sz w:val="24"/>
          <w:szCs w:val="24"/>
        </w:rPr>
        <w:t xml:space="preserve">It was agreed that information on where and how to access services needs to be accessible in order to reach patients </w:t>
      </w:r>
      <w:r w:rsidR="00A81F54">
        <w:rPr>
          <w:sz w:val="24"/>
          <w:szCs w:val="24"/>
        </w:rPr>
        <w:lastRenderedPageBreak/>
        <w:t>and public with poor literacy skills, disabilities and for patients whose first language is not English etc</w:t>
      </w:r>
      <w:r w:rsidR="00A24470">
        <w:rPr>
          <w:sz w:val="24"/>
          <w:szCs w:val="24"/>
        </w:rPr>
        <w:t>.</w:t>
      </w:r>
    </w:p>
    <w:p w:rsidR="00A24470" w:rsidRDefault="00A24470" w:rsidP="00A24470">
      <w:pPr>
        <w:pStyle w:val="ListParagraph"/>
        <w:numPr>
          <w:ilvl w:val="0"/>
          <w:numId w:val="35"/>
        </w:numPr>
        <w:rPr>
          <w:sz w:val="24"/>
          <w:szCs w:val="24"/>
        </w:rPr>
      </w:pPr>
      <w:r>
        <w:rPr>
          <w:sz w:val="24"/>
          <w:szCs w:val="24"/>
        </w:rPr>
        <w:t xml:space="preserve">There will not be a change in telephone numbers of OOH services – the contact number for the Crisis Team will not change but the response will be better co-ordinated as many of the OOH teams and service will be co-located and virtually co-located via the </w:t>
      </w:r>
      <w:r w:rsidR="00380714">
        <w:rPr>
          <w:sz w:val="24"/>
          <w:szCs w:val="24"/>
        </w:rPr>
        <w:t xml:space="preserve">new </w:t>
      </w:r>
      <w:r>
        <w:rPr>
          <w:sz w:val="24"/>
          <w:szCs w:val="24"/>
        </w:rPr>
        <w:t>UCRH.</w:t>
      </w:r>
    </w:p>
    <w:p w:rsidR="00A24470" w:rsidRDefault="00A24470" w:rsidP="00A24470">
      <w:pPr>
        <w:pStyle w:val="ListParagraph"/>
        <w:numPr>
          <w:ilvl w:val="0"/>
          <w:numId w:val="35"/>
        </w:numPr>
        <w:rPr>
          <w:sz w:val="24"/>
          <w:szCs w:val="24"/>
        </w:rPr>
      </w:pPr>
      <w:r>
        <w:rPr>
          <w:sz w:val="24"/>
          <w:szCs w:val="24"/>
        </w:rPr>
        <w:t>The audience were re assured that a communication plan was in place for both the ‘lead in’ period and the launch of the UCRH – all key partners and services identified would be notified.</w:t>
      </w:r>
    </w:p>
    <w:p w:rsidR="00A24470" w:rsidRDefault="00380714" w:rsidP="00A24470">
      <w:pPr>
        <w:pStyle w:val="ListParagraph"/>
        <w:numPr>
          <w:ilvl w:val="0"/>
          <w:numId w:val="35"/>
        </w:numPr>
        <w:rPr>
          <w:sz w:val="24"/>
          <w:szCs w:val="24"/>
        </w:rPr>
      </w:pPr>
      <w:r>
        <w:rPr>
          <w:sz w:val="24"/>
          <w:szCs w:val="24"/>
        </w:rPr>
        <w:t>The audience were reassured that t</w:t>
      </w:r>
      <w:r w:rsidR="00A24470">
        <w:rPr>
          <w:sz w:val="24"/>
          <w:szCs w:val="24"/>
        </w:rPr>
        <w:t>he new UC</w:t>
      </w:r>
      <w:r>
        <w:rPr>
          <w:sz w:val="24"/>
          <w:szCs w:val="24"/>
        </w:rPr>
        <w:t>R</w:t>
      </w:r>
      <w:r w:rsidR="00A24470">
        <w:rPr>
          <w:sz w:val="24"/>
          <w:szCs w:val="24"/>
        </w:rPr>
        <w:t>H would have access to interpreting services</w:t>
      </w:r>
      <w:r>
        <w:rPr>
          <w:sz w:val="24"/>
          <w:szCs w:val="24"/>
        </w:rPr>
        <w:t xml:space="preserve"> as normal</w:t>
      </w:r>
      <w:r w:rsidR="00A24470">
        <w:rPr>
          <w:sz w:val="24"/>
          <w:szCs w:val="24"/>
        </w:rPr>
        <w:t>.</w:t>
      </w:r>
    </w:p>
    <w:p w:rsidR="008A2026" w:rsidRDefault="00A24470" w:rsidP="00A24470">
      <w:pPr>
        <w:pStyle w:val="ListParagraph"/>
        <w:numPr>
          <w:ilvl w:val="0"/>
          <w:numId w:val="35"/>
        </w:numPr>
        <w:rPr>
          <w:sz w:val="24"/>
          <w:szCs w:val="24"/>
        </w:rPr>
      </w:pPr>
      <w:r>
        <w:rPr>
          <w:sz w:val="24"/>
          <w:szCs w:val="24"/>
        </w:rPr>
        <w:t xml:space="preserve">Support for people or carers affected by Learning disabilities would be covered by </w:t>
      </w:r>
      <w:r w:rsidR="008A2026">
        <w:rPr>
          <w:sz w:val="24"/>
          <w:szCs w:val="24"/>
        </w:rPr>
        <w:t>the UCRH during the out of hours</w:t>
      </w:r>
      <w:r>
        <w:rPr>
          <w:sz w:val="24"/>
          <w:szCs w:val="24"/>
        </w:rPr>
        <w:t xml:space="preserve"> periods. </w:t>
      </w:r>
      <w:r w:rsidR="00A81F54" w:rsidRPr="00A24470">
        <w:rPr>
          <w:sz w:val="24"/>
          <w:szCs w:val="24"/>
        </w:rPr>
        <w:t xml:space="preserve"> </w:t>
      </w:r>
    </w:p>
    <w:p w:rsidR="008A2026" w:rsidRPr="00380714" w:rsidRDefault="00A81F54" w:rsidP="008A2026">
      <w:pPr>
        <w:pStyle w:val="ListParagraph"/>
        <w:numPr>
          <w:ilvl w:val="0"/>
          <w:numId w:val="35"/>
        </w:numPr>
        <w:rPr>
          <w:sz w:val="24"/>
          <w:szCs w:val="24"/>
        </w:rPr>
      </w:pPr>
      <w:r w:rsidRPr="00A24470">
        <w:rPr>
          <w:sz w:val="24"/>
          <w:szCs w:val="24"/>
        </w:rPr>
        <w:t xml:space="preserve"> </w:t>
      </w:r>
      <w:r w:rsidR="008A2026">
        <w:rPr>
          <w:sz w:val="24"/>
          <w:szCs w:val="24"/>
        </w:rPr>
        <w:t>The GP Out of Hours Service was included in t</w:t>
      </w:r>
      <w:r w:rsidR="00380714">
        <w:rPr>
          <w:sz w:val="24"/>
          <w:szCs w:val="24"/>
        </w:rPr>
        <w:t>his review as maintaining GP OOH’s</w:t>
      </w:r>
      <w:r w:rsidR="008A2026">
        <w:rPr>
          <w:sz w:val="24"/>
          <w:szCs w:val="24"/>
        </w:rPr>
        <w:t xml:space="preserve"> services in recent years it has become increasingly difficult.  The ability to recruit and retain GP to staff the Out of Hours service had been difficult resulting in the </w:t>
      </w:r>
      <w:r w:rsidR="008A2026" w:rsidRPr="008A2026">
        <w:rPr>
          <w:sz w:val="24"/>
          <w:szCs w:val="24"/>
        </w:rPr>
        <w:t>closure of some of the GP OOH services</w:t>
      </w:r>
      <w:r w:rsidR="008A2026">
        <w:rPr>
          <w:sz w:val="24"/>
          <w:szCs w:val="24"/>
        </w:rPr>
        <w:t>. Addition staff capacity and management support had been allocated to address this problem and attract GP’s into the services.  Employing salaried GPs the OOH service was being looked at as an option</w:t>
      </w:r>
      <w:r w:rsidR="00380714">
        <w:rPr>
          <w:sz w:val="24"/>
          <w:szCs w:val="24"/>
        </w:rPr>
        <w:t>.</w:t>
      </w:r>
    </w:p>
    <w:p w:rsidR="008A2026" w:rsidRDefault="008A2026" w:rsidP="008A2026">
      <w:pPr>
        <w:rPr>
          <w:sz w:val="24"/>
          <w:szCs w:val="24"/>
        </w:rPr>
      </w:pPr>
      <w:r>
        <w:rPr>
          <w:sz w:val="24"/>
          <w:szCs w:val="24"/>
        </w:rPr>
        <w:t xml:space="preserve">The meeting finished with a discussion on the need for additional support for carers and the suggestion of the HSCP providing the carers with a </w:t>
      </w:r>
      <w:r w:rsidR="00380714">
        <w:rPr>
          <w:sz w:val="24"/>
          <w:szCs w:val="24"/>
        </w:rPr>
        <w:t>basic carers kit to support personal care and that Carers Services keeping in regular contact with known carers.</w:t>
      </w:r>
    </w:p>
    <w:p w:rsidR="00380714" w:rsidRPr="008A2026" w:rsidRDefault="00380714" w:rsidP="008A2026">
      <w:pPr>
        <w:rPr>
          <w:sz w:val="24"/>
          <w:szCs w:val="24"/>
        </w:rPr>
      </w:pPr>
      <w:r>
        <w:rPr>
          <w:sz w:val="24"/>
          <w:szCs w:val="24"/>
        </w:rPr>
        <w:t>Robert thanked the speaker</w:t>
      </w:r>
      <w:r w:rsidR="00E36A7D">
        <w:rPr>
          <w:sz w:val="24"/>
          <w:szCs w:val="24"/>
        </w:rPr>
        <w:t>s</w:t>
      </w:r>
      <w:r>
        <w:rPr>
          <w:sz w:val="24"/>
          <w:szCs w:val="24"/>
        </w:rPr>
        <w:t xml:space="preserve"> and audience for their participation in an informative and lively discussion.</w:t>
      </w:r>
    </w:p>
    <w:p w:rsidR="001F72EA" w:rsidRDefault="001F72EA" w:rsidP="001F72EA">
      <w:pPr>
        <w:rPr>
          <w:sz w:val="24"/>
          <w:szCs w:val="24"/>
        </w:rPr>
      </w:pPr>
    </w:p>
    <w:p w:rsidR="00A33D31" w:rsidRDefault="00A33D31" w:rsidP="00A33D31">
      <w:pPr>
        <w:pStyle w:val="NoSpacing"/>
        <w:rPr>
          <w:b/>
          <w:sz w:val="24"/>
          <w:szCs w:val="24"/>
        </w:rPr>
      </w:pPr>
    </w:p>
    <w:p w:rsidR="00A14A60" w:rsidRDefault="00A14A60" w:rsidP="00A33D31">
      <w:pPr>
        <w:pStyle w:val="NoSpacing"/>
        <w:rPr>
          <w:b/>
          <w:sz w:val="24"/>
          <w:szCs w:val="24"/>
        </w:rPr>
      </w:pPr>
    </w:p>
    <w:p w:rsidR="00A14A60" w:rsidRDefault="00A14A60" w:rsidP="00A33D31">
      <w:pPr>
        <w:pStyle w:val="NoSpacing"/>
        <w:rPr>
          <w:b/>
          <w:sz w:val="24"/>
          <w:szCs w:val="24"/>
        </w:rPr>
      </w:pPr>
    </w:p>
    <w:p w:rsidR="00A14A60" w:rsidRDefault="00A14A60" w:rsidP="00A33D31">
      <w:pPr>
        <w:pStyle w:val="NoSpacing"/>
        <w:rPr>
          <w:b/>
          <w:sz w:val="24"/>
          <w:szCs w:val="24"/>
        </w:rPr>
      </w:pPr>
    </w:p>
    <w:p w:rsidR="00A14A60" w:rsidRDefault="00A14A60" w:rsidP="00A33D31">
      <w:pPr>
        <w:pStyle w:val="NoSpacing"/>
        <w:rPr>
          <w:b/>
          <w:sz w:val="24"/>
          <w:szCs w:val="24"/>
        </w:rPr>
      </w:pPr>
    </w:p>
    <w:p w:rsidR="00A14A60" w:rsidRDefault="00A14A60" w:rsidP="00A33D31">
      <w:pPr>
        <w:pStyle w:val="NoSpacing"/>
        <w:rPr>
          <w:b/>
          <w:sz w:val="24"/>
          <w:szCs w:val="24"/>
        </w:rPr>
      </w:pPr>
    </w:p>
    <w:p w:rsidR="00E938D5" w:rsidRDefault="00E938D5" w:rsidP="00A33D31">
      <w:pPr>
        <w:pStyle w:val="NoSpacing"/>
        <w:rPr>
          <w:b/>
          <w:sz w:val="24"/>
          <w:szCs w:val="24"/>
        </w:rPr>
      </w:pPr>
    </w:p>
    <w:p w:rsidR="00380714" w:rsidRDefault="00380714" w:rsidP="00A33D31">
      <w:pPr>
        <w:pStyle w:val="NoSpacing"/>
        <w:rPr>
          <w:b/>
          <w:sz w:val="24"/>
          <w:szCs w:val="24"/>
        </w:rPr>
      </w:pPr>
    </w:p>
    <w:p w:rsidR="00380714" w:rsidRDefault="00380714" w:rsidP="00A33D31">
      <w:pPr>
        <w:pStyle w:val="NoSpacing"/>
        <w:rPr>
          <w:b/>
          <w:sz w:val="24"/>
          <w:szCs w:val="24"/>
        </w:rPr>
      </w:pPr>
    </w:p>
    <w:p w:rsidR="00380714" w:rsidRDefault="00380714" w:rsidP="00A33D31">
      <w:pPr>
        <w:pStyle w:val="NoSpacing"/>
        <w:rPr>
          <w:b/>
          <w:sz w:val="24"/>
          <w:szCs w:val="24"/>
        </w:rPr>
      </w:pPr>
    </w:p>
    <w:p w:rsidR="00380714" w:rsidRDefault="00380714" w:rsidP="00A33D31">
      <w:pPr>
        <w:pStyle w:val="NoSpacing"/>
        <w:rPr>
          <w:b/>
          <w:sz w:val="24"/>
          <w:szCs w:val="24"/>
        </w:rPr>
      </w:pPr>
    </w:p>
    <w:p w:rsidR="00380714" w:rsidRDefault="00380714" w:rsidP="00A33D31">
      <w:pPr>
        <w:pStyle w:val="NoSpacing"/>
        <w:rPr>
          <w:b/>
          <w:sz w:val="24"/>
          <w:szCs w:val="24"/>
        </w:rPr>
      </w:pPr>
    </w:p>
    <w:p w:rsidR="00785E06" w:rsidRDefault="00785E06" w:rsidP="00A33D31">
      <w:pPr>
        <w:pStyle w:val="NoSpacing"/>
        <w:rPr>
          <w:b/>
          <w:sz w:val="24"/>
          <w:szCs w:val="24"/>
        </w:rPr>
      </w:pPr>
    </w:p>
    <w:p w:rsidR="00785E06" w:rsidRDefault="00785E06" w:rsidP="00A33D31">
      <w:pPr>
        <w:pStyle w:val="NoSpacing"/>
        <w:rPr>
          <w:b/>
          <w:sz w:val="24"/>
          <w:szCs w:val="24"/>
        </w:rPr>
      </w:pPr>
    </w:p>
    <w:p w:rsidR="00785E06" w:rsidRDefault="00785E06" w:rsidP="00A33D31">
      <w:pPr>
        <w:pStyle w:val="NoSpacing"/>
        <w:rPr>
          <w:b/>
          <w:sz w:val="24"/>
          <w:szCs w:val="24"/>
        </w:rPr>
      </w:pPr>
    </w:p>
    <w:p w:rsidR="001F72EA" w:rsidRDefault="00A33D31" w:rsidP="00A33D31">
      <w:pPr>
        <w:pStyle w:val="NoSpacing"/>
        <w:rPr>
          <w:b/>
          <w:sz w:val="24"/>
          <w:szCs w:val="24"/>
        </w:rPr>
      </w:pPr>
      <w:r>
        <w:rPr>
          <w:b/>
          <w:sz w:val="24"/>
          <w:szCs w:val="24"/>
        </w:rPr>
        <w:lastRenderedPageBreak/>
        <w:t xml:space="preserve">Appendix </w:t>
      </w:r>
      <w:r w:rsidR="00A14A60">
        <w:rPr>
          <w:b/>
          <w:sz w:val="24"/>
          <w:szCs w:val="24"/>
        </w:rPr>
        <w:t xml:space="preserve">3 – Attendance </w:t>
      </w:r>
    </w:p>
    <w:p w:rsidR="00A33D31" w:rsidRPr="00A33D31" w:rsidRDefault="00A33D31" w:rsidP="00A33D31">
      <w:pPr>
        <w:pStyle w:val="NoSpacing"/>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6310"/>
      </w:tblGrid>
      <w:tr w:rsidR="00A33D31" w:rsidRPr="00A33D31" w:rsidTr="00A33D31">
        <w:tc>
          <w:tcPr>
            <w:tcW w:w="3154" w:type="dxa"/>
            <w:shd w:val="clear" w:color="auto" w:fill="E6E6E6"/>
          </w:tcPr>
          <w:p w:rsidR="00A33D31" w:rsidRPr="00A33D31" w:rsidRDefault="00A33D31" w:rsidP="00A33D31">
            <w:pPr>
              <w:pStyle w:val="NoSpacing"/>
              <w:rPr>
                <w:rFonts w:cs="Arial"/>
                <w:b/>
                <w:color w:val="000080"/>
                <w:sz w:val="24"/>
                <w:szCs w:val="24"/>
              </w:rPr>
            </w:pPr>
            <w:r w:rsidRPr="00A33D31">
              <w:rPr>
                <w:rFonts w:cs="Arial"/>
                <w:b/>
                <w:color w:val="000080"/>
                <w:sz w:val="24"/>
                <w:szCs w:val="24"/>
              </w:rPr>
              <w:t>NAME</w:t>
            </w:r>
          </w:p>
        </w:tc>
        <w:tc>
          <w:tcPr>
            <w:tcW w:w="6310" w:type="dxa"/>
            <w:shd w:val="clear" w:color="auto" w:fill="E6E6E6"/>
          </w:tcPr>
          <w:p w:rsidR="00A33D31" w:rsidRPr="00A33D31" w:rsidRDefault="00A33D31" w:rsidP="00A33D31">
            <w:pPr>
              <w:pStyle w:val="NoSpacing"/>
              <w:rPr>
                <w:rFonts w:cs="Arial"/>
                <w:b/>
                <w:color w:val="000080"/>
                <w:sz w:val="24"/>
                <w:szCs w:val="24"/>
              </w:rPr>
            </w:pPr>
            <w:r w:rsidRPr="00A33D31">
              <w:rPr>
                <w:rFonts w:cs="Arial"/>
                <w:b/>
                <w:color w:val="000080"/>
                <w:sz w:val="24"/>
                <w:szCs w:val="24"/>
              </w:rPr>
              <w:t>ORGANISATION</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Mariegold Akomode</w:t>
            </w:r>
          </w:p>
        </w:tc>
        <w:tc>
          <w:tcPr>
            <w:tcW w:w="6310" w:type="dxa"/>
          </w:tcPr>
          <w:p w:rsidR="00A33D31" w:rsidRPr="00A33D31" w:rsidRDefault="00A33D31" w:rsidP="00A33D31">
            <w:pPr>
              <w:pStyle w:val="NoSpacing"/>
              <w:rPr>
                <w:rFonts w:cs="Arial"/>
                <w:sz w:val="24"/>
                <w:szCs w:val="24"/>
              </w:rPr>
            </w:pPr>
            <w:r w:rsidRPr="00A33D31">
              <w:rPr>
                <w:rFonts w:cs="Arial"/>
                <w:sz w:val="24"/>
                <w:szCs w:val="24"/>
              </w:rPr>
              <w:t>Waverley Care</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Andy Bell</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Carers Team – Glasgow HSCP</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Catherine Benton</w:t>
            </w:r>
          </w:p>
        </w:tc>
        <w:tc>
          <w:tcPr>
            <w:tcW w:w="6310" w:type="dxa"/>
          </w:tcPr>
          <w:p w:rsidR="00A33D31" w:rsidRPr="00A33D31" w:rsidRDefault="00A33D31" w:rsidP="00A33D31">
            <w:pPr>
              <w:pStyle w:val="NoSpacing"/>
              <w:rPr>
                <w:rFonts w:cs="Arial"/>
                <w:sz w:val="24"/>
                <w:szCs w:val="24"/>
              </w:rPr>
            </w:pPr>
            <w:r w:rsidRPr="00A33D31">
              <w:rPr>
                <w:rFonts w:cs="Arial"/>
                <w:sz w:val="24"/>
                <w:szCs w:val="24"/>
              </w:rPr>
              <w:t>Jordanhill Community Council</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David Cowan</w:t>
            </w:r>
          </w:p>
        </w:tc>
        <w:tc>
          <w:tcPr>
            <w:tcW w:w="6310" w:type="dxa"/>
          </w:tcPr>
          <w:p w:rsidR="00A33D31" w:rsidRPr="00A33D31" w:rsidRDefault="00A33D31" w:rsidP="00A33D31">
            <w:pPr>
              <w:pStyle w:val="NoSpacing"/>
              <w:rPr>
                <w:rFonts w:cs="Arial"/>
                <w:sz w:val="24"/>
                <w:szCs w:val="24"/>
              </w:rPr>
            </w:pPr>
            <w:r w:rsidRPr="00A33D31">
              <w:rPr>
                <w:rFonts w:cs="Arial"/>
                <w:sz w:val="24"/>
                <w:szCs w:val="24"/>
              </w:rPr>
              <w:t>Merchant City and Trongate Community Council</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Sadie Gordon</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LEF</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Alan Gow</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LEF</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Rita Hepburn</w:t>
            </w:r>
          </w:p>
        </w:tc>
        <w:tc>
          <w:tcPr>
            <w:tcW w:w="6310" w:type="dxa"/>
          </w:tcPr>
          <w:p w:rsidR="00A33D31" w:rsidRPr="00A33D31" w:rsidRDefault="00A33D31" w:rsidP="00A33D31">
            <w:pPr>
              <w:pStyle w:val="NoSpacing"/>
              <w:rPr>
                <w:rFonts w:cs="Arial"/>
                <w:sz w:val="24"/>
                <w:szCs w:val="24"/>
              </w:rPr>
            </w:pPr>
            <w:r>
              <w:rPr>
                <w:rFonts w:cs="Arial"/>
                <w:sz w:val="24"/>
                <w:szCs w:val="24"/>
              </w:rPr>
              <w:t>NW</w:t>
            </w:r>
            <w:r w:rsidRPr="00A33D31">
              <w:rPr>
                <w:rFonts w:cs="Arial"/>
                <w:sz w:val="24"/>
                <w:szCs w:val="24"/>
              </w:rPr>
              <w:t xml:space="preserve"> LEF</w:t>
            </w:r>
          </w:p>
        </w:tc>
      </w:tr>
      <w:tr w:rsidR="00A33D31" w:rsidRPr="00A33D31" w:rsidTr="00A33D31">
        <w:tc>
          <w:tcPr>
            <w:tcW w:w="3154" w:type="dxa"/>
          </w:tcPr>
          <w:p w:rsidR="00A33D31" w:rsidRPr="00A33D31" w:rsidRDefault="00A33D31" w:rsidP="00A33D31">
            <w:pPr>
              <w:pStyle w:val="NoSpacing"/>
              <w:rPr>
                <w:rFonts w:cs="Arial"/>
                <w:sz w:val="24"/>
                <w:szCs w:val="24"/>
              </w:rPr>
            </w:pPr>
            <w:r>
              <w:rPr>
                <w:rFonts w:cs="Arial"/>
                <w:sz w:val="24"/>
                <w:szCs w:val="24"/>
              </w:rPr>
              <w:t>Mohammed Jamil</w:t>
            </w:r>
          </w:p>
        </w:tc>
        <w:tc>
          <w:tcPr>
            <w:tcW w:w="6310" w:type="dxa"/>
          </w:tcPr>
          <w:p w:rsidR="00A33D31" w:rsidRPr="00A33D31" w:rsidRDefault="00A33D31" w:rsidP="00A33D31">
            <w:pPr>
              <w:pStyle w:val="NoSpacing"/>
              <w:rPr>
                <w:rFonts w:cs="Arial"/>
                <w:sz w:val="24"/>
                <w:szCs w:val="24"/>
              </w:rPr>
            </w:pPr>
            <w:r>
              <w:rPr>
                <w:rFonts w:cs="Arial"/>
                <w:sz w:val="24"/>
                <w:szCs w:val="24"/>
              </w:rPr>
              <w:t>NW LEF</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Anne Kilgour</w:t>
            </w:r>
          </w:p>
        </w:tc>
        <w:tc>
          <w:tcPr>
            <w:tcW w:w="6310" w:type="dxa"/>
          </w:tcPr>
          <w:p w:rsidR="00A33D31" w:rsidRPr="00A33D31" w:rsidRDefault="00A33D31" w:rsidP="00A33D31">
            <w:pPr>
              <w:pStyle w:val="NoSpacing"/>
              <w:rPr>
                <w:rFonts w:cs="Arial"/>
                <w:sz w:val="24"/>
                <w:szCs w:val="24"/>
              </w:rPr>
            </w:pPr>
            <w:r w:rsidRPr="00A33D31">
              <w:rPr>
                <w:rFonts w:cs="Arial"/>
                <w:sz w:val="24"/>
                <w:szCs w:val="24"/>
              </w:rPr>
              <w:t xml:space="preserve">NW LEF </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Margaret Lance</w:t>
            </w:r>
          </w:p>
        </w:tc>
        <w:tc>
          <w:tcPr>
            <w:tcW w:w="6310" w:type="dxa"/>
          </w:tcPr>
          <w:p w:rsidR="00A33D31" w:rsidRPr="00A33D31" w:rsidRDefault="00A33D31" w:rsidP="00A33D31">
            <w:pPr>
              <w:pStyle w:val="NoSpacing"/>
              <w:rPr>
                <w:rFonts w:cs="Arial"/>
                <w:sz w:val="24"/>
                <w:szCs w:val="24"/>
              </w:rPr>
            </w:pPr>
            <w:r w:rsidRPr="00A33D31">
              <w:rPr>
                <w:rFonts w:cs="Arial"/>
                <w:sz w:val="24"/>
                <w:szCs w:val="24"/>
              </w:rPr>
              <w:t xml:space="preserve">Waverley Care </w:t>
            </w:r>
          </w:p>
        </w:tc>
      </w:tr>
      <w:tr w:rsidR="00A33D31" w:rsidRPr="00A33D31" w:rsidTr="00A33D31">
        <w:tc>
          <w:tcPr>
            <w:tcW w:w="3154" w:type="dxa"/>
          </w:tcPr>
          <w:p w:rsidR="00A33D31" w:rsidRPr="00A33D31" w:rsidRDefault="00A33D31" w:rsidP="00A33D31">
            <w:pPr>
              <w:pStyle w:val="NoSpacing"/>
              <w:rPr>
                <w:rFonts w:cs="Arial"/>
                <w:sz w:val="24"/>
                <w:szCs w:val="24"/>
              </w:rPr>
            </w:pPr>
            <w:r>
              <w:rPr>
                <w:rFonts w:cs="Arial"/>
                <w:sz w:val="24"/>
                <w:szCs w:val="24"/>
              </w:rPr>
              <w:t>Elizabeth Lochrie</w:t>
            </w:r>
          </w:p>
        </w:tc>
        <w:tc>
          <w:tcPr>
            <w:tcW w:w="6310" w:type="dxa"/>
          </w:tcPr>
          <w:p w:rsidR="00A33D31" w:rsidRPr="00A33D31" w:rsidRDefault="00A33D31" w:rsidP="00A33D31">
            <w:pPr>
              <w:pStyle w:val="NoSpacing"/>
              <w:rPr>
                <w:rFonts w:cs="Arial"/>
                <w:sz w:val="24"/>
                <w:szCs w:val="24"/>
              </w:rPr>
            </w:pPr>
            <w:r>
              <w:rPr>
                <w:rFonts w:cs="Arial"/>
                <w:sz w:val="24"/>
                <w:szCs w:val="24"/>
              </w:rPr>
              <w:t>Glasgow City HSCP</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Derek Manson-Smith</w:t>
            </w:r>
          </w:p>
        </w:tc>
        <w:tc>
          <w:tcPr>
            <w:tcW w:w="6310" w:type="dxa"/>
          </w:tcPr>
          <w:p w:rsidR="00A33D31" w:rsidRPr="00A33D31" w:rsidRDefault="00A33D31" w:rsidP="00A33D31">
            <w:pPr>
              <w:pStyle w:val="NoSpacing"/>
              <w:rPr>
                <w:rFonts w:cs="Arial"/>
                <w:sz w:val="24"/>
                <w:szCs w:val="24"/>
              </w:rPr>
            </w:pPr>
            <w:r w:rsidRPr="00A33D31">
              <w:rPr>
                <w:rFonts w:cs="Arial"/>
                <w:sz w:val="24"/>
                <w:szCs w:val="24"/>
              </w:rPr>
              <w:t>Woodlands &amp; Park Community Council</w:t>
            </w:r>
          </w:p>
        </w:tc>
      </w:tr>
      <w:tr w:rsidR="00A33D31" w:rsidRPr="00A33D31" w:rsidTr="00A33D31">
        <w:tc>
          <w:tcPr>
            <w:tcW w:w="3154" w:type="dxa"/>
          </w:tcPr>
          <w:p w:rsidR="00A33D31" w:rsidRPr="00A33D31" w:rsidRDefault="00A33D31" w:rsidP="00A33D31">
            <w:pPr>
              <w:pStyle w:val="NoSpacing"/>
              <w:rPr>
                <w:rFonts w:cs="Arial"/>
                <w:sz w:val="24"/>
                <w:szCs w:val="24"/>
              </w:rPr>
            </w:pPr>
            <w:r>
              <w:rPr>
                <w:rFonts w:cs="Arial"/>
                <w:sz w:val="24"/>
                <w:szCs w:val="24"/>
              </w:rPr>
              <w:t>Margaret Muir</w:t>
            </w:r>
          </w:p>
        </w:tc>
        <w:tc>
          <w:tcPr>
            <w:tcW w:w="6310" w:type="dxa"/>
          </w:tcPr>
          <w:p w:rsidR="00A33D31" w:rsidRPr="00A33D31" w:rsidRDefault="00A33D31" w:rsidP="00A33D31">
            <w:pPr>
              <w:pStyle w:val="NoSpacing"/>
              <w:rPr>
                <w:rFonts w:cs="Arial"/>
                <w:sz w:val="24"/>
                <w:szCs w:val="24"/>
              </w:rPr>
            </w:pPr>
            <w:r>
              <w:rPr>
                <w:rFonts w:cs="Arial"/>
                <w:sz w:val="24"/>
                <w:szCs w:val="24"/>
              </w:rPr>
              <w:t>Marie Curie</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Gillian McCamley</w:t>
            </w:r>
          </w:p>
        </w:tc>
        <w:tc>
          <w:tcPr>
            <w:tcW w:w="6310" w:type="dxa"/>
          </w:tcPr>
          <w:p w:rsidR="00A33D31" w:rsidRPr="00A33D31" w:rsidRDefault="00A33D31" w:rsidP="00A33D31">
            <w:pPr>
              <w:pStyle w:val="NoSpacing"/>
              <w:rPr>
                <w:rFonts w:cs="Arial"/>
                <w:sz w:val="24"/>
                <w:szCs w:val="24"/>
              </w:rPr>
            </w:pPr>
            <w:r w:rsidRPr="00A33D31">
              <w:rPr>
                <w:rFonts w:cs="Arial"/>
                <w:sz w:val="24"/>
                <w:szCs w:val="24"/>
              </w:rPr>
              <w:t>Community Connectors – GCVS</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Alan McDonald</w:t>
            </w:r>
          </w:p>
        </w:tc>
        <w:tc>
          <w:tcPr>
            <w:tcW w:w="6310" w:type="dxa"/>
          </w:tcPr>
          <w:p w:rsidR="00A33D31" w:rsidRPr="00A33D31" w:rsidRDefault="00A33D31" w:rsidP="00A33D31">
            <w:pPr>
              <w:pStyle w:val="NoSpacing"/>
              <w:rPr>
                <w:rFonts w:cs="Arial"/>
                <w:sz w:val="24"/>
                <w:szCs w:val="24"/>
              </w:rPr>
            </w:pPr>
            <w:r w:rsidRPr="00A33D31">
              <w:rPr>
                <w:rFonts w:cs="Arial"/>
                <w:sz w:val="24"/>
                <w:szCs w:val="24"/>
              </w:rPr>
              <w:t xml:space="preserve">NW LEF Member </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Peter Goodwillie</w:t>
            </w:r>
          </w:p>
        </w:tc>
        <w:tc>
          <w:tcPr>
            <w:tcW w:w="6310" w:type="dxa"/>
          </w:tcPr>
          <w:p w:rsidR="00A33D31" w:rsidRPr="00A33D31" w:rsidRDefault="00A33D31" w:rsidP="00A33D31">
            <w:pPr>
              <w:pStyle w:val="NoSpacing"/>
              <w:rPr>
                <w:rFonts w:cs="Arial"/>
                <w:sz w:val="24"/>
                <w:szCs w:val="24"/>
              </w:rPr>
            </w:pPr>
            <w:r w:rsidRPr="00A33D31">
              <w:rPr>
                <w:rFonts w:cs="Arial"/>
                <w:sz w:val="24"/>
                <w:szCs w:val="24"/>
              </w:rPr>
              <w:t>(PA)</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Gordon McInnes</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LEF &amp; MHN</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Morag McKerrell</w:t>
            </w:r>
          </w:p>
        </w:tc>
        <w:tc>
          <w:tcPr>
            <w:tcW w:w="6310" w:type="dxa"/>
          </w:tcPr>
          <w:p w:rsidR="00A33D31" w:rsidRPr="00A33D31" w:rsidRDefault="00A33D31" w:rsidP="00A33D31">
            <w:pPr>
              <w:pStyle w:val="NoSpacing"/>
              <w:rPr>
                <w:rFonts w:cs="Arial"/>
                <w:sz w:val="24"/>
                <w:szCs w:val="24"/>
              </w:rPr>
            </w:pPr>
            <w:r w:rsidRPr="00A33D31">
              <w:rPr>
                <w:rFonts w:cs="Arial"/>
                <w:sz w:val="24"/>
                <w:szCs w:val="24"/>
              </w:rPr>
              <w:t>Broomhill CC</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Mary Angela McKenna</w:t>
            </w:r>
          </w:p>
        </w:tc>
        <w:tc>
          <w:tcPr>
            <w:tcW w:w="6310" w:type="dxa"/>
          </w:tcPr>
          <w:p w:rsidR="00A33D31" w:rsidRPr="00A33D31" w:rsidRDefault="00A33D31" w:rsidP="00A33D31">
            <w:pPr>
              <w:pStyle w:val="NoSpacing"/>
              <w:rPr>
                <w:rFonts w:cs="Arial"/>
                <w:sz w:val="24"/>
                <w:szCs w:val="24"/>
              </w:rPr>
            </w:pPr>
            <w:r w:rsidRPr="00A33D31">
              <w:rPr>
                <w:rFonts w:cs="Arial"/>
                <w:sz w:val="24"/>
                <w:szCs w:val="24"/>
              </w:rPr>
              <w:t>Glasgow City HSCP</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Thomas McKinlay</w:t>
            </w:r>
          </w:p>
        </w:tc>
        <w:tc>
          <w:tcPr>
            <w:tcW w:w="6310" w:type="dxa"/>
          </w:tcPr>
          <w:p w:rsidR="00A33D31" w:rsidRPr="00A33D31" w:rsidRDefault="00A33D31" w:rsidP="00A33D31">
            <w:pPr>
              <w:pStyle w:val="NoSpacing"/>
              <w:rPr>
                <w:rFonts w:cs="Arial"/>
                <w:sz w:val="24"/>
                <w:szCs w:val="24"/>
              </w:rPr>
            </w:pPr>
            <w:r w:rsidRPr="00A33D31">
              <w:rPr>
                <w:rFonts w:cs="Arial"/>
                <w:sz w:val="24"/>
                <w:szCs w:val="24"/>
              </w:rPr>
              <w:t xml:space="preserve">Local Resident </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Raylene McLaggan</w:t>
            </w:r>
          </w:p>
        </w:tc>
        <w:tc>
          <w:tcPr>
            <w:tcW w:w="6310" w:type="dxa"/>
          </w:tcPr>
          <w:p w:rsidR="00A33D31" w:rsidRPr="00A33D31" w:rsidRDefault="00A33D31" w:rsidP="00A33D31">
            <w:pPr>
              <w:pStyle w:val="NoSpacing"/>
              <w:rPr>
                <w:rFonts w:cs="Arial"/>
                <w:sz w:val="24"/>
                <w:szCs w:val="24"/>
              </w:rPr>
            </w:pPr>
            <w:r w:rsidRPr="00A33D31">
              <w:rPr>
                <w:rFonts w:cs="Arial"/>
                <w:sz w:val="24"/>
                <w:szCs w:val="24"/>
              </w:rPr>
              <w:t>NHS GGC</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Winnie McPhail</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LEF</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Mary McShane</w:t>
            </w:r>
          </w:p>
        </w:tc>
        <w:tc>
          <w:tcPr>
            <w:tcW w:w="6310" w:type="dxa"/>
          </w:tcPr>
          <w:p w:rsidR="00A33D31" w:rsidRPr="00A33D31" w:rsidRDefault="00A14A60" w:rsidP="00A33D31">
            <w:pPr>
              <w:pStyle w:val="NoSpacing"/>
              <w:rPr>
                <w:rFonts w:cs="Arial"/>
                <w:sz w:val="24"/>
                <w:szCs w:val="24"/>
              </w:rPr>
            </w:pPr>
            <w:r>
              <w:rPr>
                <w:rFonts w:cs="Arial"/>
                <w:sz w:val="24"/>
                <w:szCs w:val="24"/>
              </w:rPr>
              <w:t>NW LEF</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John McVicar</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w:t>
            </w:r>
            <w:r w:rsidR="00A14A60">
              <w:rPr>
                <w:rFonts w:cs="Arial"/>
                <w:sz w:val="24"/>
                <w:szCs w:val="24"/>
              </w:rPr>
              <w:t xml:space="preserve">EF </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Dr Alan Rodger</w:t>
            </w:r>
          </w:p>
        </w:tc>
        <w:tc>
          <w:tcPr>
            <w:tcW w:w="6310" w:type="dxa"/>
          </w:tcPr>
          <w:p w:rsidR="00A33D31" w:rsidRPr="00A33D31" w:rsidRDefault="00A33D31" w:rsidP="00A33D31">
            <w:pPr>
              <w:pStyle w:val="NoSpacing"/>
              <w:rPr>
                <w:rFonts w:cs="Arial"/>
                <w:sz w:val="24"/>
                <w:szCs w:val="24"/>
              </w:rPr>
            </w:pPr>
            <w:r w:rsidRPr="00A33D31">
              <w:rPr>
                <w:rFonts w:cs="Arial"/>
                <w:sz w:val="24"/>
                <w:szCs w:val="24"/>
              </w:rPr>
              <w:t>Community</w:t>
            </w:r>
            <w:r>
              <w:rPr>
                <w:rFonts w:cs="Arial"/>
                <w:sz w:val="24"/>
                <w:szCs w:val="24"/>
              </w:rPr>
              <w:t xml:space="preserve"> Representative</w:t>
            </w:r>
          </w:p>
        </w:tc>
      </w:tr>
      <w:tr w:rsidR="00A33D31" w:rsidRPr="00A33D31" w:rsidTr="00A33D31">
        <w:tc>
          <w:tcPr>
            <w:tcW w:w="3154" w:type="dxa"/>
          </w:tcPr>
          <w:p w:rsidR="00A33D31" w:rsidRPr="00A33D31" w:rsidRDefault="00A33D31" w:rsidP="00A33D31">
            <w:pPr>
              <w:pStyle w:val="NoSpacing"/>
              <w:rPr>
                <w:rFonts w:cs="Arial"/>
                <w:sz w:val="24"/>
                <w:szCs w:val="24"/>
              </w:rPr>
            </w:pPr>
            <w:r>
              <w:rPr>
                <w:rFonts w:cs="Arial"/>
                <w:sz w:val="24"/>
                <w:szCs w:val="24"/>
              </w:rPr>
              <w:t>Mags Smith</w:t>
            </w:r>
          </w:p>
        </w:tc>
        <w:tc>
          <w:tcPr>
            <w:tcW w:w="6310" w:type="dxa"/>
          </w:tcPr>
          <w:p w:rsidR="00A33D31" w:rsidRPr="00A33D31" w:rsidRDefault="00A33D31" w:rsidP="00A33D31">
            <w:pPr>
              <w:pStyle w:val="NoSpacing"/>
              <w:rPr>
                <w:rFonts w:cs="Arial"/>
                <w:sz w:val="24"/>
                <w:szCs w:val="24"/>
              </w:rPr>
            </w:pPr>
            <w:r>
              <w:rPr>
                <w:rFonts w:cs="Arial"/>
                <w:sz w:val="24"/>
                <w:szCs w:val="24"/>
              </w:rPr>
              <w:t>NHS GGC</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Robert Smith</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LEF</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Lillian Woolfries</w:t>
            </w:r>
          </w:p>
        </w:tc>
        <w:tc>
          <w:tcPr>
            <w:tcW w:w="6310" w:type="dxa"/>
          </w:tcPr>
          <w:p w:rsidR="00A33D31" w:rsidRPr="00A33D31" w:rsidRDefault="00A33D31" w:rsidP="00A33D31">
            <w:pPr>
              <w:pStyle w:val="NoSpacing"/>
              <w:rPr>
                <w:rFonts w:cs="Arial"/>
                <w:sz w:val="24"/>
                <w:szCs w:val="24"/>
              </w:rPr>
            </w:pPr>
            <w:r w:rsidRPr="00A33D31">
              <w:rPr>
                <w:rFonts w:cs="Arial"/>
                <w:sz w:val="24"/>
                <w:szCs w:val="24"/>
              </w:rPr>
              <w:t>NW LEF Member</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Ellen Wright</w:t>
            </w:r>
          </w:p>
        </w:tc>
        <w:tc>
          <w:tcPr>
            <w:tcW w:w="6310" w:type="dxa"/>
          </w:tcPr>
          <w:p w:rsidR="00A33D31" w:rsidRPr="00A33D31" w:rsidRDefault="00A33D31" w:rsidP="00A33D31">
            <w:pPr>
              <w:pStyle w:val="NoSpacing"/>
              <w:rPr>
                <w:rFonts w:cs="Arial"/>
                <w:sz w:val="24"/>
                <w:szCs w:val="24"/>
              </w:rPr>
            </w:pPr>
            <w:r w:rsidRPr="00A33D31">
              <w:rPr>
                <w:rFonts w:cs="Arial"/>
                <w:sz w:val="24"/>
                <w:szCs w:val="24"/>
              </w:rPr>
              <w:t xml:space="preserve">High Knightswood &amp; Anniesland Community Council </w:t>
            </w:r>
          </w:p>
        </w:tc>
      </w:tr>
      <w:tr w:rsidR="00A14A60" w:rsidRPr="00A33D31" w:rsidTr="00A14A60">
        <w:tc>
          <w:tcPr>
            <w:tcW w:w="9464" w:type="dxa"/>
            <w:gridSpan w:val="2"/>
          </w:tcPr>
          <w:p w:rsidR="00A14A60" w:rsidRPr="00A14A60" w:rsidRDefault="00A14A60" w:rsidP="00A33D31">
            <w:pPr>
              <w:pStyle w:val="NoSpacing"/>
              <w:rPr>
                <w:rFonts w:cs="Arial"/>
                <w:b/>
                <w:sz w:val="24"/>
                <w:szCs w:val="24"/>
              </w:rPr>
            </w:pPr>
            <w:r w:rsidRPr="00A14A60">
              <w:rPr>
                <w:rFonts w:cs="Arial"/>
                <w:b/>
                <w:sz w:val="24"/>
                <w:szCs w:val="24"/>
              </w:rPr>
              <w:t xml:space="preserve">In Attendance </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Margaret Black</w:t>
            </w:r>
          </w:p>
        </w:tc>
        <w:tc>
          <w:tcPr>
            <w:tcW w:w="6310" w:type="dxa"/>
          </w:tcPr>
          <w:p w:rsidR="00A33D31" w:rsidRPr="00A33D31" w:rsidRDefault="00A33D31" w:rsidP="00A33D31">
            <w:pPr>
              <w:pStyle w:val="NoSpacing"/>
              <w:rPr>
                <w:rFonts w:cs="Arial"/>
                <w:sz w:val="24"/>
                <w:szCs w:val="24"/>
              </w:rPr>
            </w:pPr>
            <w:r w:rsidRPr="00A33D31">
              <w:rPr>
                <w:rFonts w:cs="Arial"/>
                <w:sz w:val="24"/>
                <w:szCs w:val="24"/>
              </w:rPr>
              <w:t>Glasgow City HSCP</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Kerri Neylon</w:t>
            </w:r>
          </w:p>
        </w:tc>
        <w:tc>
          <w:tcPr>
            <w:tcW w:w="6310" w:type="dxa"/>
          </w:tcPr>
          <w:p w:rsidR="00A33D31" w:rsidRPr="00A33D31" w:rsidRDefault="00A33D31" w:rsidP="00A33D31">
            <w:pPr>
              <w:pStyle w:val="NoSpacing"/>
              <w:rPr>
                <w:rFonts w:cs="Arial"/>
                <w:sz w:val="24"/>
                <w:szCs w:val="24"/>
              </w:rPr>
            </w:pPr>
            <w:r w:rsidRPr="00A33D31">
              <w:rPr>
                <w:rFonts w:cs="Arial"/>
                <w:sz w:val="24"/>
                <w:szCs w:val="24"/>
              </w:rPr>
              <w:t>Glasgow City HSCP</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Kirsty Orr</w:t>
            </w:r>
          </w:p>
        </w:tc>
        <w:tc>
          <w:tcPr>
            <w:tcW w:w="6310" w:type="dxa"/>
          </w:tcPr>
          <w:p w:rsidR="00A33D31" w:rsidRPr="00A33D31" w:rsidRDefault="00A33D31" w:rsidP="00A33D31">
            <w:pPr>
              <w:pStyle w:val="NoSpacing"/>
              <w:rPr>
                <w:rFonts w:cs="Arial"/>
                <w:sz w:val="24"/>
                <w:szCs w:val="24"/>
              </w:rPr>
            </w:pPr>
            <w:r w:rsidRPr="00A33D31">
              <w:rPr>
                <w:rFonts w:cs="Arial"/>
                <w:sz w:val="24"/>
                <w:szCs w:val="24"/>
              </w:rPr>
              <w:t>Glasgow City HSCP</w:t>
            </w:r>
          </w:p>
        </w:tc>
      </w:tr>
      <w:tr w:rsidR="00A33D31" w:rsidRPr="00A33D31" w:rsidTr="00A33D31">
        <w:tc>
          <w:tcPr>
            <w:tcW w:w="3154" w:type="dxa"/>
          </w:tcPr>
          <w:p w:rsidR="00A33D31" w:rsidRPr="00A33D31" w:rsidRDefault="00A33D31" w:rsidP="00A33D31">
            <w:pPr>
              <w:pStyle w:val="NoSpacing"/>
              <w:rPr>
                <w:rFonts w:cs="Arial"/>
                <w:sz w:val="24"/>
                <w:szCs w:val="24"/>
              </w:rPr>
            </w:pPr>
            <w:r w:rsidRPr="00A33D31">
              <w:rPr>
                <w:rFonts w:cs="Arial"/>
                <w:sz w:val="24"/>
                <w:szCs w:val="24"/>
              </w:rPr>
              <w:t>May Simpson</w:t>
            </w:r>
          </w:p>
        </w:tc>
        <w:tc>
          <w:tcPr>
            <w:tcW w:w="6310" w:type="dxa"/>
          </w:tcPr>
          <w:p w:rsidR="00A33D31" w:rsidRPr="00A33D31" w:rsidRDefault="00A33D31" w:rsidP="00A33D31">
            <w:pPr>
              <w:pStyle w:val="NoSpacing"/>
              <w:rPr>
                <w:rFonts w:cs="Arial"/>
                <w:sz w:val="24"/>
                <w:szCs w:val="24"/>
              </w:rPr>
            </w:pPr>
            <w:r w:rsidRPr="00A33D31">
              <w:rPr>
                <w:rFonts w:cs="Arial"/>
                <w:sz w:val="24"/>
                <w:szCs w:val="24"/>
              </w:rPr>
              <w:t>Glasgow City HSCP</w:t>
            </w:r>
          </w:p>
        </w:tc>
      </w:tr>
    </w:tbl>
    <w:p w:rsidR="001F72EA" w:rsidRPr="00A33D31" w:rsidRDefault="001F72EA" w:rsidP="001F72EA">
      <w:pPr>
        <w:rPr>
          <w:sz w:val="24"/>
          <w:szCs w:val="24"/>
        </w:rPr>
      </w:pPr>
    </w:p>
    <w:sectPr w:rsidR="001F72EA" w:rsidRPr="00A33D31" w:rsidSect="005C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7E"/>
    <w:multiLevelType w:val="hybridMultilevel"/>
    <w:tmpl w:val="81146E12"/>
    <w:lvl w:ilvl="0" w:tplc="235CE5A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D10B0"/>
    <w:multiLevelType w:val="hybridMultilevel"/>
    <w:tmpl w:val="C17A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7173"/>
    <w:multiLevelType w:val="hybridMultilevel"/>
    <w:tmpl w:val="51524AD4"/>
    <w:lvl w:ilvl="0" w:tplc="D1A6771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C04C0"/>
    <w:multiLevelType w:val="hybridMultilevel"/>
    <w:tmpl w:val="F0EE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A5123"/>
    <w:multiLevelType w:val="hybridMultilevel"/>
    <w:tmpl w:val="9808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5338"/>
    <w:multiLevelType w:val="hybridMultilevel"/>
    <w:tmpl w:val="82265CB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6" w15:restartNumberingAfterBreak="0">
    <w:nsid w:val="1CEE003B"/>
    <w:multiLevelType w:val="hybridMultilevel"/>
    <w:tmpl w:val="D226A894"/>
    <w:lvl w:ilvl="0" w:tplc="DB305B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F239FD"/>
    <w:multiLevelType w:val="hybridMultilevel"/>
    <w:tmpl w:val="A2A2C57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20D55282"/>
    <w:multiLevelType w:val="hybridMultilevel"/>
    <w:tmpl w:val="33EC2EE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15:restartNumberingAfterBreak="0">
    <w:nsid w:val="21753CBC"/>
    <w:multiLevelType w:val="hybridMultilevel"/>
    <w:tmpl w:val="5348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95B4B"/>
    <w:multiLevelType w:val="hybridMultilevel"/>
    <w:tmpl w:val="3CE2FD7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11" w15:restartNumberingAfterBreak="0">
    <w:nsid w:val="287B39E3"/>
    <w:multiLevelType w:val="hybridMultilevel"/>
    <w:tmpl w:val="0E8431B6"/>
    <w:lvl w:ilvl="0" w:tplc="58DC6026">
      <w:start w:val="1"/>
      <w:numFmt w:val="bullet"/>
      <w:lvlText w:val="•"/>
      <w:lvlJc w:val="left"/>
      <w:pPr>
        <w:tabs>
          <w:tab w:val="num" w:pos="720"/>
        </w:tabs>
        <w:ind w:left="720" w:hanging="360"/>
      </w:pPr>
      <w:rPr>
        <w:rFonts w:ascii="Arial" w:hAnsi="Arial" w:hint="default"/>
      </w:rPr>
    </w:lvl>
    <w:lvl w:ilvl="1" w:tplc="3070BA0E" w:tentative="1">
      <w:start w:val="1"/>
      <w:numFmt w:val="bullet"/>
      <w:lvlText w:val="•"/>
      <w:lvlJc w:val="left"/>
      <w:pPr>
        <w:tabs>
          <w:tab w:val="num" w:pos="1440"/>
        </w:tabs>
        <w:ind w:left="1440" w:hanging="360"/>
      </w:pPr>
      <w:rPr>
        <w:rFonts w:ascii="Arial" w:hAnsi="Arial" w:hint="default"/>
      </w:rPr>
    </w:lvl>
    <w:lvl w:ilvl="2" w:tplc="48EE4EC6" w:tentative="1">
      <w:start w:val="1"/>
      <w:numFmt w:val="bullet"/>
      <w:lvlText w:val="•"/>
      <w:lvlJc w:val="left"/>
      <w:pPr>
        <w:tabs>
          <w:tab w:val="num" w:pos="2160"/>
        </w:tabs>
        <w:ind w:left="2160" w:hanging="360"/>
      </w:pPr>
      <w:rPr>
        <w:rFonts w:ascii="Arial" w:hAnsi="Arial" w:hint="default"/>
      </w:rPr>
    </w:lvl>
    <w:lvl w:ilvl="3" w:tplc="6194DCF4" w:tentative="1">
      <w:start w:val="1"/>
      <w:numFmt w:val="bullet"/>
      <w:lvlText w:val="•"/>
      <w:lvlJc w:val="left"/>
      <w:pPr>
        <w:tabs>
          <w:tab w:val="num" w:pos="2880"/>
        </w:tabs>
        <w:ind w:left="2880" w:hanging="360"/>
      </w:pPr>
      <w:rPr>
        <w:rFonts w:ascii="Arial" w:hAnsi="Arial" w:hint="default"/>
      </w:rPr>
    </w:lvl>
    <w:lvl w:ilvl="4" w:tplc="0C5A290A" w:tentative="1">
      <w:start w:val="1"/>
      <w:numFmt w:val="bullet"/>
      <w:lvlText w:val="•"/>
      <w:lvlJc w:val="left"/>
      <w:pPr>
        <w:tabs>
          <w:tab w:val="num" w:pos="3600"/>
        </w:tabs>
        <w:ind w:left="3600" w:hanging="360"/>
      </w:pPr>
      <w:rPr>
        <w:rFonts w:ascii="Arial" w:hAnsi="Arial" w:hint="default"/>
      </w:rPr>
    </w:lvl>
    <w:lvl w:ilvl="5" w:tplc="B614BD30" w:tentative="1">
      <w:start w:val="1"/>
      <w:numFmt w:val="bullet"/>
      <w:lvlText w:val="•"/>
      <w:lvlJc w:val="left"/>
      <w:pPr>
        <w:tabs>
          <w:tab w:val="num" w:pos="4320"/>
        </w:tabs>
        <w:ind w:left="4320" w:hanging="360"/>
      </w:pPr>
      <w:rPr>
        <w:rFonts w:ascii="Arial" w:hAnsi="Arial" w:hint="default"/>
      </w:rPr>
    </w:lvl>
    <w:lvl w:ilvl="6" w:tplc="53905132" w:tentative="1">
      <w:start w:val="1"/>
      <w:numFmt w:val="bullet"/>
      <w:lvlText w:val="•"/>
      <w:lvlJc w:val="left"/>
      <w:pPr>
        <w:tabs>
          <w:tab w:val="num" w:pos="5040"/>
        </w:tabs>
        <w:ind w:left="5040" w:hanging="360"/>
      </w:pPr>
      <w:rPr>
        <w:rFonts w:ascii="Arial" w:hAnsi="Arial" w:hint="default"/>
      </w:rPr>
    </w:lvl>
    <w:lvl w:ilvl="7" w:tplc="491C14B4" w:tentative="1">
      <w:start w:val="1"/>
      <w:numFmt w:val="bullet"/>
      <w:lvlText w:val="•"/>
      <w:lvlJc w:val="left"/>
      <w:pPr>
        <w:tabs>
          <w:tab w:val="num" w:pos="5760"/>
        </w:tabs>
        <w:ind w:left="5760" w:hanging="360"/>
      </w:pPr>
      <w:rPr>
        <w:rFonts w:ascii="Arial" w:hAnsi="Arial" w:hint="default"/>
      </w:rPr>
    </w:lvl>
    <w:lvl w:ilvl="8" w:tplc="889095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E6500B"/>
    <w:multiLevelType w:val="hybridMultilevel"/>
    <w:tmpl w:val="10C6E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27648"/>
    <w:multiLevelType w:val="hybridMultilevel"/>
    <w:tmpl w:val="0524767E"/>
    <w:lvl w:ilvl="0" w:tplc="7B12F8BE">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A6DD5"/>
    <w:multiLevelType w:val="hybridMultilevel"/>
    <w:tmpl w:val="309C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425A0"/>
    <w:multiLevelType w:val="hybridMultilevel"/>
    <w:tmpl w:val="B7D86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256373"/>
    <w:multiLevelType w:val="hybridMultilevel"/>
    <w:tmpl w:val="1292E0A2"/>
    <w:lvl w:ilvl="0" w:tplc="4B0692BA">
      <w:start w:val="1"/>
      <w:numFmt w:val="bullet"/>
      <w:lvlText w:val="•"/>
      <w:lvlJc w:val="left"/>
      <w:pPr>
        <w:tabs>
          <w:tab w:val="num" w:pos="720"/>
        </w:tabs>
        <w:ind w:left="720" w:hanging="360"/>
      </w:pPr>
      <w:rPr>
        <w:rFonts w:ascii="Arial" w:hAnsi="Arial" w:hint="default"/>
      </w:rPr>
    </w:lvl>
    <w:lvl w:ilvl="1" w:tplc="7B2816BC" w:tentative="1">
      <w:start w:val="1"/>
      <w:numFmt w:val="bullet"/>
      <w:lvlText w:val="•"/>
      <w:lvlJc w:val="left"/>
      <w:pPr>
        <w:tabs>
          <w:tab w:val="num" w:pos="1440"/>
        </w:tabs>
        <w:ind w:left="1440" w:hanging="360"/>
      </w:pPr>
      <w:rPr>
        <w:rFonts w:ascii="Arial" w:hAnsi="Arial" w:hint="default"/>
      </w:rPr>
    </w:lvl>
    <w:lvl w:ilvl="2" w:tplc="6E727FC4" w:tentative="1">
      <w:start w:val="1"/>
      <w:numFmt w:val="bullet"/>
      <w:lvlText w:val="•"/>
      <w:lvlJc w:val="left"/>
      <w:pPr>
        <w:tabs>
          <w:tab w:val="num" w:pos="2160"/>
        </w:tabs>
        <w:ind w:left="2160" w:hanging="360"/>
      </w:pPr>
      <w:rPr>
        <w:rFonts w:ascii="Arial" w:hAnsi="Arial" w:hint="default"/>
      </w:rPr>
    </w:lvl>
    <w:lvl w:ilvl="3" w:tplc="F1AC03B0" w:tentative="1">
      <w:start w:val="1"/>
      <w:numFmt w:val="bullet"/>
      <w:lvlText w:val="•"/>
      <w:lvlJc w:val="left"/>
      <w:pPr>
        <w:tabs>
          <w:tab w:val="num" w:pos="2880"/>
        </w:tabs>
        <w:ind w:left="2880" w:hanging="360"/>
      </w:pPr>
      <w:rPr>
        <w:rFonts w:ascii="Arial" w:hAnsi="Arial" w:hint="default"/>
      </w:rPr>
    </w:lvl>
    <w:lvl w:ilvl="4" w:tplc="D3F84CBE" w:tentative="1">
      <w:start w:val="1"/>
      <w:numFmt w:val="bullet"/>
      <w:lvlText w:val="•"/>
      <w:lvlJc w:val="left"/>
      <w:pPr>
        <w:tabs>
          <w:tab w:val="num" w:pos="3600"/>
        </w:tabs>
        <w:ind w:left="3600" w:hanging="360"/>
      </w:pPr>
      <w:rPr>
        <w:rFonts w:ascii="Arial" w:hAnsi="Arial" w:hint="default"/>
      </w:rPr>
    </w:lvl>
    <w:lvl w:ilvl="5" w:tplc="7E0AAB74" w:tentative="1">
      <w:start w:val="1"/>
      <w:numFmt w:val="bullet"/>
      <w:lvlText w:val="•"/>
      <w:lvlJc w:val="left"/>
      <w:pPr>
        <w:tabs>
          <w:tab w:val="num" w:pos="4320"/>
        </w:tabs>
        <w:ind w:left="4320" w:hanging="360"/>
      </w:pPr>
      <w:rPr>
        <w:rFonts w:ascii="Arial" w:hAnsi="Arial" w:hint="default"/>
      </w:rPr>
    </w:lvl>
    <w:lvl w:ilvl="6" w:tplc="F8AA3BD4" w:tentative="1">
      <w:start w:val="1"/>
      <w:numFmt w:val="bullet"/>
      <w:lvlText w:val="•"/>
      <w:lvlJc w:val="left"/>
      <w:pPr>
        <w:tabs>
          <w:tab w:val="num" w:pos="5040"/>
        </w:tabs>
        <w:ind w:left="5040" w:hanging="360"/>
      </w:pPr>
      <w:rPr>
        <w:rFonts w:ascii="Arial" w:hAnsi="Arial" w:hint="default"/>
      </w:rPr>
    </w:lvl>
    <w:lvl w:ilvl="7" w:tplc="AEB843A2" w:tentative="1">
      <w:start w:val="1"/>
      <w:numFmt w:val="bullet"/>
      <w:lvlText w:val="•"/>
      <w:lvlJc w:val="left"/>
      <w:pPr>
        <w:tabs>
          <w:tab w:val="num" w:pos="5760"/>
        </w:tabs>
        <w:ind w:left="5760" w:hanging="360"/>
      </w:pPr>
      <w:rPr>
        <w:rFonts w:ascii="Arial" w:hAnsi="Arial" w:hint="default"/>
      </w:rPr>
    </w:lvl>
    <w:lvl w:ilvl="8" w:tplc="288E23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C80517"/>
    <w:multiLevelType w:val="hybridMultilevel"/>
    <w:tmpl w:val="54363490"/>
    <w:lvl w:ilvl="0" w:tplc="E51C1D96">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B64FB"/>
    <w:multiLevelType w:val="hybridMultilevel"/>
    <w:tmpl w:val="864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D5429"/>
    <w:multiLevelType w:val="hybridMultilevel"/>
    <w:tmpl w:val="E19EFB9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0" w15:restartNumberingAfterBreak="0">
    <w:nsid w:val="45C26B87"/>
    <w:multiLevelType w:val="hybridMultilevel"/>
    <w:tmpl w:val="D08E4E6E"/>
    <w:lvl w:ilvl="0" w:tplc="1D3C073A">
      <w:start w:val="2"/>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009CA"/>
    <w:multiLevelType w:val="hybridMultilevel"/>
    <w:tmpl w:val="5874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35888"/>
    <w:multiLevelType w:val="hybridMultilevel"/>
    <w:tmpl w:val="309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2032B"/>
    <w:multiLevelType w:val="hybridMultilevel"/>
    <w:tmpl w:val="7F3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64BEF"/>
    <w:multiLevelType w:val="hybridMultilevel"/>
    <w:tmpl w:val="8A66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034"/>
    <w:multiLevelType w:val="hybridMultilevel"/>
    <w:tmpl w:val="A5E2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B294A"/>
    <w:multiLevelType w:val="hybridMultilevel"/>
    <w:tmpl w:val="6D38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D7338"/>
    <w:multiLevelType w:val="hybridMultilevel"/>
    <w:tmpl w:val="DDB2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5155A"/>
    <w:multiLevelType w:val="hybridMultilevel"/>
    <w:tmpl w:val="28D2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17F5C"/>
    <w:multiLevelType w:val="hybridMultilevel"/>
    <w:tmpl w:val="146CD72A"/>
    <w:lvl w:ilvl="0" w:tplc="6AEEBD9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AF0FD2"/>
    <w:multiLevelType w:val="hybridMultilevel"/>
    <w:tmpl w:val="4340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404AE"/>
    <w:multiLevelType w:val="hybridMultilevel"/>
    <w:tmpl w:val="64D6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375BC"/>
    <w:multiLevelType w:val="hybridMultilevel"/>
    <w:tmpl w:val="0FB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26F74"/>
    <w:multiLevelType w:val="hybridMultilevel"/>
    <w:tmpl w:val="03C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2036F"/>
    <w:multiLevelType w:val="hybridMultilevel"/>
    <w:tmpl w:val="EB0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34"/>
  </w:num>
  <w:num w:numId="5">
    <w:abstractNumId w:val="1"/>
  </w:num>
  <w:num w:numId="6">
    <w:abstractNumId w:val="22"/>
  </w:num>
  <w:num w:numId="7">
    <w:abstractNumId w:val="33"/>
  </w:num>
  <w:num w:numId="8">
    <w:abstractNumId w:val="6"/>
  </w:num>
  <w:num w:numId="9">
    <w:abstractNumId w:val="29"/>
  </w:num>
  <w:num w:numId="10">
    <w:abstractNumId w:val="9"/>
  </w:num>
  <w:num w:numId="11">
    <w:abstractNumId w:val="28"/>
  </w:num>
  <w:num w:numId="12">
    <w:abstractNumId w:val="23"/>
  </w:num>
  <w:num w:numId="13">
    <w:abstractNumId w:val="4"/>
  </w:num>
  <w:num w:numId="14">
    <w:abstractNumId w:val="32"/>
  </w:num>
  <w:num w:numId="15">
    <w:abstractNumId w:val="14"/>
  </w:num>
  <w:num w:numId="16">
    <w:abstractNumId w:val="21"/>
  </w:num>
  <w:num w:numId="17">
    <w:abstractNumId w:val="0"/>
  </w:num>
  <w:num w:numId="18">
    <w:abstractNumId w:val="8"/>
  </w:num>
  <w:num w:numId="19">
    <w:abstractNumId w:val="27"/>
  </w:num>
  <w:num w:numId="20">
    <w:abstractNumId w:val="3"/>
  </w:num>
  <w:num w:numId="21">
    <w:abstractNumId w:val="26"/>
  </w:num>
  <w:num w:numId="22">
    <w:abstractNumId w:val="15"/>
  </w:num>
  <w:num w:numId="23">
    <w:abstractNumId w:val="13"/>
  </w:num>
  <w:num w:numId="24">
    <w:abstractNumId w:val="31"/>
  </w:num>
  <w:num w:numId="25">
    <w:abstractNumId w:val="20"/>
  </w:num>
  <w:num w:numId="26">
    <w:abstractNumId w:val="7"/>
  </w:num>
  <w:num w:numId="27">
    <w:abstractNumId w:val="17"/>
  </w:num>
  <w:num w:numId="28">
    <w:abstractNumId w:val="25"/>
  </w:num>
  <w:num w:numId="29">
    <w:abstractNumId w:val="24"/>
  </w:num>
  <w:num w:numId="30">
    <w:abstractNumId w:val="10"/>
  </w:num>
  <w:num w:numId="31">
    <w:abstractNumId w:val="30"/>
  </w:num>
  <w:num w:numId="32">
    <w:abstractNumId w:val="19"/>
  </w:num>
  <w:num w:numId="33">
    <w:abstractNumId w:val="1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FF"/>
    <w:rsid w:val="0001010F"/>
    <w:rsid w:val="00013234"/>
    <w:rsid w:val="00013644"/>
    <w:rsid w:val="00013BC9"/>
    <w:rsid w:val="00021C7E"/>
    <w:rsid w:val="00023E65"/>
    <w:rsid w:val="0003207E"/>
    <w:rsid w:val="00036A3F"/>
    <w:rsid w:val="00036C9B"/>
    <w:rsid w:val="00041982"/>
    <w:rsid w:val="00042AF7"/>
    <w:rsid w:val="00043C8E"/>
    <w:rsid w:val="000474D5"/>
    <w:rsid w:val="00054D38"/>
    <w:rsid w:val="00067913"/>
    <w:rsid w:val="000735B3"/>
    <w:rsid w:val="00080273"/>
    <w:rsid w:val="00080C00"/>
    <w:rsid w:val="00086218"/>
    <w:rsid w:val="000B3A0A"/>
    <w:rsid w:val="000C1424"/>
    <w:rsid w:val="000E3A27"/>
    <w:rsid w:val="000F1C28"/>
    <w:rsid w:val="000F7E6D"/>
    <w:rsid w:val="00105D5C"/>
    <w:rsid w:val="00107D60"/>
    <w:rsid w:val="00112C13"/>
    <w:rsid w:val="00120FFA"/>
    <w:rsid w:val="00122341"/>
    <w:rsid w:val="001326B0"/>
    <w:rsid w:val="00134668"/>
    <w:rsid w:val="001376B7"/>
    <w:rsid w:val="001558C4"/>
    <w:rsid w:val="00155E62"/>
    <w:rsid w:val="00183B90"/>
    <w:rsid w:val="001A6571"/>
    <w:rsid w:val="001B6A92"/>
    <w:rsid w:val="001E2B87"/>
    <w:rsid w:val="001E53C5"/>
    <w:rsid w:val="001F72EA"/>
    <w:rsid w:val="00202005"/>
    <w:rsid w:val="00210E0F"/>
    <w:rsid w:val="00226A92"/>
    <w:rsid w:val="00235EA2"/>
    <w:rsid w:val="002414BB"/>
    <w:rsid w:val="00245B2B"/>
    <w:rsid w:val="00253FEB"/>
    <w:rsid w:val="00260B0D"/>
    <w:rsid w:val="002614D8"/>
    <w:rsid w:val="002739BD"/>
    <w:rsid w:val="00276282"/>
    <w:rsid w:val="002B0F81"/>
    <w:rsid w:val="002C4D23"/>
    <w:rsid w:val="002C6CA3"/>
    <w:rsid w:val="002D1E25"/>
    <w:rsid w:val="002F14F3"/>
    <w:rsid w:val="002F42A8"/>
    <w:rsid w:val="002F6778"/>
    <w:rsid w:val="00300AB7"/>
    <w:rsid w:val="0030242C"/>
    <w:rsid w:val="00311679"/>
    <w:rsid w:val="003453CF"/>
    <w:rsid w:val="00346A9D"/>
    <w:rsid w:val="00346AF2"/>
    <w:rsid w:val="00353CD7"/>
    <w:rsid w:val="003618ED"/>
    <w:rsid w:val="00367B42"/>
    <w:rsid w:val="0037661F"/>
    <w:rsid w:val="00380714"/>
    <w:rsid w:val="00383FFE"/>
    <w:rsid w:val="0038495D"/>
    <w:rsid w:val="00387D09"/>
    <w:rsid w:val="003906FF"/>
    <w:rsid w:val="003A049B"/>
    <w:rsid w:val="003A6460"/>
    <w:rsid w:val="003B4749"/>
    <w:rsid w:val="003E369E"/>
    <w:rsid w:val="003F3FD0"/>
    <w:rsid w:val="003F74D7"/>
    <w:rsid w:val="00401881"/>
    <w:rsid w:val="0041444B"/>
    <w:rsid w:val="0043272B"/>
    <w:rsid w:val="00432ED0"/>
    <w:rsid w:val="00436BDC"/>
    <w:rsid w:val="00453A5B"/>
    <w:rsid w:val="004573BB"/>
    <w:rsid w:val="00463170"/>
    <w:rsid w:val="004669C8"/>
    <w:rsid w:val="00472DDB"/>
    <w:rsid w:val="00475103"/>
    <w:rsid w:val="00475397"/>
    <w:rsid w:val="004824DC"/>
    <w:rsid w:val="00493038"/>
    <w:rsid w:val="00493EA3"/>
    <w:rsid w:val="004A3EB3"/>
    <w:rsid w:val="004A6E0D"/>
    <w:rsid w:val="004D1C3B"/>
    <w:rsid w:val="004D5DC7"/>
    <w:rsid w:val="004D6C52"/>
    <w:rsid w:val="004E05D7"/>
    <w:rsid w:val="004F1D4B"/>
    <w:rsid w:val="004F230C"/>
    <w:rsid w:val="004F24FF"/>
    <w:rsid w:val="004F2783"/>
    <w:rsid w:val="004F5028"/>
    <w:rsid w:val="00506C4E"/>
    <w:rsid w:val="00520339"/>
    <w:rsid w:val="0052377E"/>
    <w:rsid w:val="005250C7"/>
    <w:rsid w:val="00530734"/>
    <w:rsid w:val="00530F98"/>
    <w:rsid w:val="005512D0"/>
    <w:rsid w:val="00563C29"/>
    <w:rsid w:val="00572774"/>
    <w:rsid w:val="005A103A"/>
    <w:rsid w:val="005A7E04"/>
    <w:rsid w:val="005B06A8"/>
    <w:rsid w:val="005C3B18"/>
    <w:rsid w:val="005D0D83"/>
    <w:rsid w:val="005D5A92"/>
    <w:rsid w:val="005E6299"/>
    <w:rsid w:val="005F2AA7"/>
    <w:rsid w:val="005F6FF9"/>
    <w:rsid w:val="00615D6B"/>
    <w:rsid w:val="006254FE"/>
    <w:rsid w:val="00627B6D"/>
    <w:rsid w:val="0063617D"/>
    <w:rsid w:val="00642E7D"/>
    <w:rsid w:val="00644E2D"/>
    <w:rsid w:val="006738AD"/>
    <w:rsid w:val="00674C75"/>
    <w:rsid w:val="00675833"/>
    <w:rsid w:val="00677B75"/>
    <w:rsid w:val="006806F0"/>
    <w:rsid w:val="00682501"/>
    <w:rsid w:val="0068325E"/>
    <w:rsid w:val="00683F5C"/>
    <w:rsid w:val="006868C8"/>
    <w:rsid w:val="00695CBE"/>
    <w:rsid w:val="0069602C"/>
    <w:rsid w:val="006975EB"/>
    <w:rsid w:val="006A0C69"/>
    <w:rsid w:val="006A4E0B"/>
    <w:rsid w:val="006A6F48"/>
    <w:rsid w:val="006D75F7"/>
    <w:rsid w:val="006E49C9"/>
    <w:rsid w:val="006E761B"/>
    <w:rsid w:val="006F2FDC"/>
    <w:rsid w:val="006F5710"/>
    <w:rsid w:val="00713E16"/>
    <w:rsid w:val="0071714F"/>
    <w:rsid w:val="00725A0A"/>
    <w:rsid w:val="00732F99"/>
    <w:rsid w:val="007331BA"/>
    <w:rsid w:val="00736A39"/>
    <w:rsid w:val="00742ED3"/>
    <w:rsid w:val="00771766"/>
    <w:rsid w:val="00785E06"/>
    <w:rsid w:val="00794B21"/>
    <w:rsid w:val="007B2FFD"/>
    <w:rsid w:val="007B6667"/>
    <w:rsid w:val="007D036A"/>
    <w:rsid w:val="007E6A53"/>
    <w:rsid w:val="007E77CA"/>
    <w:rsid w:val="007F36A7"/>
    <w:rsid w:val="007F3E60"/>
    <w:rsid w:val="007F4E01"/>
    <w:rsid w:val="007F5EB1"/>
    <w:rsid w:val="007F7963"/>
    <w:rsid w:val="00805585"/>
    <w:rsid w:val="00811E6D"/>
    <w:rsid w:val="008160B4"/>
    <w:rsid w:val="00822FC8"/>
    <w:rsid w:val="0082555C"/>
    <w:rsid w:val="00830A99"/>
    <w:rsid w:val="008316B6"/>
    <w:rsid w:val="00852AD9"/>
    <w:rsid w:val="00856535"/>
    <w:rsid w:val="008627DA"/>
    <w:rsid w:val="008748EF"/>
    <w:rsid w:val="008821E7"/>
    <w:rsid w:val="008866D4"/>
    <w:rsid w:val="00886890"/>
    <w:rsid w:val="00887ED8"/>
    <w:rsid w:val="00890C64"/>
    <w:rsid w:val="0089567B"/>
    <w:rsid w:val="008A2026"/>
    <w:rsid w:val="008A45AD"/>
    <w:rsid w:val="008B3F16"/>
    <w:rsid w:val="008B4BFE"/>
    <w:rsid w:val="008B789D"/>
    <w:rsid w:val="008E1040"/>
    <w:rsid w:val="00904A2C"/>
    <w:rsid w:val="00905272"/>
    <w:rsid w:val="009067C9"/>
    <w:rsid w:val="009256CA"/>
    <w:rsid w:val="00927BE6"/>
    <w:rsid w:val="00934BD4"/>
    <w:rsid w:val="00935FC1"/>
    <w:rsid w:val="00937BE7"/>
    <w:rsid w:val="0094535C"/>
    <w:rsid w:val="00945B4E"/>
    <w:rsid w:val="009820F9"/>
    <w:rsid w:val="009825F3"/>
    <w:rsid w:val="009914BE"/>
    <w:rsid w:val="009A538D"/>
    <w:rsid w:val="009A745B"/>
    <w:rsid w:val="009A7E6F"/>
    <w:rsid w:val="009B1B8C"/>
    <w:rsid w:val="00A06C9D"/>
    <w:rsid w:val="00A12938"/>
    <w:rsid w:val="00A14A60"/>
    <w:rsid w:val="00A1674C"/>
    <w:rsid w:val="00A217A4"/>
    <w:rsid w:val="00A24470"/>
    <w:rsid w:val="00A3021E"/>
    <w:rsid w:val="00A33D31"/>
    <w:rsid w:val="00A368F2"/>
    <w:rsid w:val="00A5304E"/>
    <w:rsid w:val="00A74538"/>
    <w:rsid w:val="00A81F54"/>
    <w:rsid w:val="00AA1FFA"/>
    <w:rsid w:val="00AA6281"/>
    <w:rsid w:val="00AB4B24"/>
    <w:rsid w:val="00AE2D0A"/>
    <w:rsid w:val="00AE7348"/>
    <w:rsid w:val="00AF40E7"/>
    <w:rsid w:val="00B0588F"/>
    <w:rsid w:val="00B1347C"/>
    <w:rsid w:val="00B20D61"/>
    <w:rsid w:val="00B31B81"/>
    <w:rsid w:val="00B44DF1"/>
    <w:rsid w:val="00B45D6D"/>
    <w:rsid w:val="00B52349"/>
    <w:rsid w:val="00B601F5"/>
    <w:rsid w:val="00B6325E"/>
    <w:rsid w:val="00B65F0B"/>
    <w:rsid w:val="00B73653"/>
    <w:rsid w:val="00B77CC8"/>
    <w:rsid w:val="00B81920"/>
    <w:rsid w:val="00B81BCA"/>
    <w:rsid w:val="00B82274"/>
    <w:rsid w:val="00B97B26"/>
    <w:rsid w:val="00BC2DB7"/>
    <w:rsid w:val="00BC2E33"/>
    <w:rsid w:val="00BC53FF"/>
    <w:rsid w:val="00BD0F5B"/>
    <w:rsid w:val="00BD2A52"/>
    <w:rsid w:val="00C05C24"/>
    <w:rsid w:val="00C12241"/>
    <w:rsid w:val="00C13651"/>
    <w:rsid w:val="00C213E9"/>
    <w:rsid w:val="00C21A3A"/>
    <w:rsid w:val="00C21AB6"/>
    <w:rsid w:val="00C22E00"/>
    <w:rsid w:val="00C402EC"/>
    <w:rsid w:val="00C4166C"/>
    <w:rsid w:val="00C456B5"/>
    <w:rsid w:val="00C52B99"/>
    <w:rsid w:val="00C572BB"/>
    <w:rsid w:val="00C62778"/>
    <w:rsid w:val="00C70786"/>
    <w:rsid w:val="00C73BDB"/>
    <w:rsid w:val="00C859B6"/>
    <w:rsid w:val="00C91ED2"/>
    <w:rsid w:val="00CA44B6"/>
    <w:rsid w:val="00CA6737"/>
    <w:rsid w:val="00CA715B"/>
    <w:rsid w:val="00CB05D6"/>
    <w:rsid w:val="00CB1B5E"/>
    <w:rsid w:val="00CB6054"/>
    <w:rsid w:val="00CC4871"/>
    <w:rsid w:val="00CC6CF3"/>
    <w:rsid w:val="00CD17FE"/>
    <w:rsid w:val="00CD44F3"/>
    <w:rsid w:val="00CD5295"/>
    <w:rsid w:val="00CD789D"/>
    <w:rsid w:val="00CE4757"/>
    <w:rsid w:val="00CF03AF"/>
    <w:rsid w:val="00CF1596"/>
    <w:rsid w:val="00D12BEF"/>
    <w:rsid w:val="00D27B93"/>
    <w:rsid w:val="00D30D9D"/>
    <w:rsid w:val="00D376F1"/>
    <w:rsid w:val="00D417BE"/>
    <w:rsid w:val="00D635D4"/>
    <w:rsid w:val="00D71604"/>
    <w:rsid w:val="00D72090"/>
    <w:rsid w:val="00D76A8C"/>
    <w:rsid w:val="00D823FE"/>
    <w:rsid w:val="00D83DFF"/>
    <w:rsid w:val="00DB664D"/>
    <w:rsid w:val="00DC07E4"/>
    <w:rsid w:val="00DC467E"/>
    <w:rsid w:val="00DD4566"/>
    <w:rsid w:val="00DE287E"/>
    <w:rsid w:val="00DF6114"/>
    <w:rsid w:val="00E16FDC"/>
    <w:rsid w:val="00E24A57"/>
    <w:rsid w:val="00E32BF3"/>
    <w:rsid w:val="00E36A7D"/>
    <w:rsid w:val="00E54BAA"/>
    <w:rsid w:val="00E56863"/>
    <w:rsid w:val="00E6232B"/>
    <w:rsid w:val="00E7628B"/>
    <w:rsid w:val="00E77607"/>
    <w:rsid w:val="00E82A35"/>
    <w:rsid w:val="00E84EC4"/>
    <w:rsid w:val="00E870B3"/>
    <w:rsid w:val="00E92D2F"/>
    <w:rsid w:val="00E938D5"/>
    <w:rsid w:val="00EA4FB5"/>
    <w:rsid w:val="00EB3724"/>
    <w:rsid w:val="00EB4A7C"/>
    <w:rsid w:val="00EC593F"/>
    <w:rsid w:val="00ED0880"/>
    <w:rsid w:val="00ED1354"/>
    <w:rsid w:val="00ED7FDC"/>
    <w:rsid w:val="00EF04CC"/>
    <w:rsid w:val="00EF3251"/>
    <w:rsid w:val="00EF6F68"/>
    <w:rsid w:val="00F04CE4"/>
    <w:rsid w:val="00F06EE6"/>
    <w:rsid w:val="00F11FC6"/>
    <w:rsid w:val="00F22A7E"/>
    <w:rsid w:val="00F50141"/>
    <w:rsid w:val="00F65855"/>
    <w:rsid w:val="00F70FDB"/>
    <w:rsid w:val="00F77B5A"/>
    <w:rsid w:val="00F90BC4"/>
    <w:rsid w:val="00FA5F1A"/>
    <w:rsid w:val="00FC2CAF"/>
    <w:rsid w:val="00FD0A43"/>
    <w:rsid w:val="00FD2028"/>
    <w:rsid w:val="00FD263E"/>
    <w:rsid w:val="00FD5F76"/>
    <w:rsid w:val="00FD69D4"/>
    <w:rsid w:val="00FE2D9E"/>
    <w:rsid w:val="00FE6DCD"/>
    <w:rsid w:val="00FF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25EAA-3B62-4A44-92F7-53FDA15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774"/>
    <w:rPr>
      <w:i/>
      <w:iCs/>
    </w:rPr>
  </w:style>
  <w:style w:type="paragraph" w:styleId="NoSpacing">
    <w:name w:val="No Spacing"/>
    <w:uiPriority w:val="99"/>
    <w:qFormat/>
    <w:rsid w:val="004D6C52"/>
    <w:pPr>
      <w:spacing w:after="0" w:line="240" w:lineRule="auto"/>
    </w:pPr>
  </w:style>
  <w:style w:type="paragraph" w:styleId="ListParagraph">
    <w:name w:val="List Paragraph"/>
    <w:basedOn w:val="Normal"/>
    <w:uiPriority w:val="34"/>
    <w:qFormat/>
    <w:rsid w:val="008B3F16"/>
    <w:pPr>
      <w:ind w:left="720"/>
      <w:contextualSpacing/>
    </w:pPr>
  </w:style>
  <w:style w:type="character" w:styleId="Hyperlink">
    <w:name w:val="Hyperlink"/>
    <w:basedOn w:val="DefaultParagraphFont"/>
    <w:uiPriority w:val="99"/>
    <w:rsid w:val="00311679"/>
    <w:rPr>
      <w:rFonts w:cs="Times New Roman"/>
      <w:color w:val="0000FF"/>
      <w:u w:val="single"/>
    </w:rPr>
  </w:style>
  <w:style w:type="paragraph" w:styleId="BalloonText">
    <w:name w:val="Balloon Text"/>
    <w:basedOn w:val="Normal"/>
    <w:link w:val="BalloonTextChar"/>
    <w:uiPriority w:val="99"/>
    <w:semiHidden/>
    <w:unhideWhenUsed/>
    <w:rsid w:val="00DE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10438">
      <w:bodyDiv w:val="1"/>
      <w:marLeft w:val="0"/>
      <w:marRight w:val="0"/>
      <w:marTop w:val="0"/>
      <w:marBottom w:val="0"/>
      <w:divBdr>
        <w:top w:val="none" w:sz="0" w:space="0" w:color="auto"/>
        <w:left w:val="none" w:sz="0" w:space="0" w:color="auto"/>
        <w:bottom w:val="none" w:sz="0" w:space="0" w:color="auto"/>
        <w:right w:val="none" w:sz="0" w:space="0" w:color="auto"/>
      </w:divBdr>
      <w:divsChild>
        <w:div w:id="623081315">
          <w:marLeft w:val="360"/>
          <w:marRight w:val="0"/>
          <w:marTop w:val="200"/>
          <w:marBottom w:val="0"/>
          <w:divBdr>
            <w:top w:val="none" w:sz="0" w:space="0" w:color="auto"/>
            <w:left w:val="none" w:sz="0" w:space="0" w:color="auto"/>
            <w:bottom w:val="none" w:sz="0" w:space="0" w:color="auto"/>
            <w:right w:val="none" w:sz="0" w:space="0" w:color="auto"/>
          </w:divBdr>
        </w:div>
        <w:div w:id="1261334602">
          <w:marLeft w:val="360"/>
          <w:marRight w:val="0"/>
          <w:marTop w:val="200"/>
          <w:marBottom w:val="0"/>
          <w:divBdr>
            <w:top w:val="none" w:sz="0" w:space="0" w:color="auto"/>
            <w:left w:val="none" w:sz="0" w:space="0" w:color="auto"/>
            <w:bottom w:val="none" w:sz="0" w:space="0" w:color="auto"/>
            <w:right w:val="none" w:sz="0" w:space="0" w:color="auto"/>
          </w:divBdr>
        </w:div>
        <w:div w:id="2057581739">
          <w:marLeft w:val="360"/>
          <w:marRight w:val="0"/>
          <w:marTop w:val="200"/>
          <w:marBottom w:val="0"/>
          <w:divBdr>
            <w:top w:val="none" w:sz="0" w:space="0" w:color="auto"/>
            <w:left w:val="none" w:sz="0" w:space="0" w:color="auto"/>
            <w:bottom w:val="none" w:sz="0" w:space="0" w:color="auto"/>
            <w:right w:val="none" w:sz="0" w:space="0" w:color="auto"/>
          </w:divBdr>
        </w:div>
        <w:div w:id="346759368">
          <w:marLeft w:val="360"/>
          <w:marRight w:val="0"/>
          <w:marTop w:val="200"/>
          <w:marBottom w:val="0"/>
          <w:divBdr>
            <w:top w:val="none" w:sz="0" w:space="0" w:color="auto"/>
            <w:left w:val="none" w:sz="0" w:space="0" w:color="auto"/>
            <w:bottom w:val="none" w:sz="0" w:space="0" w:color="auto"/>
            <w:right w:val="none" w:sz="0" w:space="0" w:color="auto"/>
          </w:divBdr>
        </w:div>
      </w:divsChild>
    </w:div>
    <w:div w:id="645477399">
      <w:bodyDiv w:val="1"/>
      <w:marLeft w:val="0"/>
      <w:marRight w:val="0"/>
      <w:marTop w:val="0"/>
      <w:marBottom w:val="0"/>
      <w:divBdr>
        <w:top w:val="none" w:sz="0" w:space="0" w:color="auto"/>
        <w:left w:val="none" w:sz="0" w:space="0" w:color="auto"/>
        <w:bottom w:val="none" w:sz="0" w:space="0" w:color="auto"/>
        <w:right w:val="none" w:sz="0" w:space="0" w:color="auto"/>
      </w:divBdr>
    </w:div>
    <w:div w:id="1006403540">
      <w:bodyDiv w:val="1"/>
      <w:marLeft w:val="0"/>
      <w:marRight w:val="0"/>
      <w:marTop w:val="0"/>
      <w:marBottom w:val="0"/>
      <w:divBdr>
        <w:top w:val="none" w:sz="0" w:space="0" w:color="auto"/>
        <w:left w:val="none" w:sz="0" w:space="0" w:color="auto"/>
        <w:bottom w:val="none" w:sz="0" w:space="0" w:color="auto"/>
        <w:right w:val="none" w:sz="0" w:space="0" w:color="auto"/>
      </w:divBdr>
    </w:div>
    <w:div w:id="1027753780">
      <w:bodyDiv w:val="1"/>
      <w:marLeft w:val="0"/>
      <w:marRight w:val="0"/>
      <w:marTop w:val="0"/>
      <w:marBottom w:val="0"/>
      <w:divBdr>
        <w:top w:val="none" w:sz="0" w:space="0" w:color="auto"/>
        <w:left w:val="none" w:sz="0" w:space="0" w:color="auto"/>
        <w:bottom w:val="none" w:sz="0" w:space="0" w:color="auto"/>
        <w:right w:val="none" w:sz="0" w:space="0" w:color="auto"/>
      </w:divBdr>
      <w:divsChild>
        <w:div w:id="25451669">
          <w:marLeft w:val="547"/>
          <w:marRight w:val="0"/>
          <w:marTop w:val="96"/>
          <w:marBottom w:val="0"/>
          <w:divBdr>
            <w:top w:val="none" w:sz="0" w:space="0" w:color="auto"/>
            <w:left w:val="none" w:sz="0" w:space="0" w:color="auto"/>
            <w:bottom w:val="none" w:sz="0" w:space="0" w:color="auto"/>
            <w:right w:val="none" w:sz="0" w:space="0" w:color="auto"/>
          </w:divBdr>
        </w:div>
        <w:div w:id="645083873">
          <w:marLeft w:val="547"/>
          <w:marRight w:val="0"/>
          <w:marTop w:val="96"/>
          <w:marBottom w:val="0"/>
          <w:divBdr>
            <w:top w:val="none" w:sz="0" w:space="0" w:color="auto"/>
            <w:left w:val="none" w:sz="0" w:space="0" w:color="auto"/>
            <w:bottom w:val="none" w:sz="0" w:space="0" w:color="auto"/>
            <w:right w:val="none" w:sz="0" w:space="0" w:color="auto"/>
          </w:divBdr>
        </w:div>
        <w:div w:id="1388257073">
          <w:marLeft w:val="547"/>
          <w:marRight w:val="0"/>
          <w:marTop w:val="96"/>
          <w:marBottom w:val="0"/>
          <w:divBdr>
            <w:top w:val="none" w:sz="0" w:space="0" w:color="auto"/>
            <w:left w:val="none" w:sz="0" w:space="0" w:color="auto"/>
            <w:bottom w:val="none" w:sz="0" w:space="0" w:color="auto"/>
            <w:right w:val="none" w:sz="0" w:space="0" w:color="auto"/>
          </w:divBdr>
        </w:div>
        <w:div w:id="16891382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834A-1F3B-4448-A33A-7501E429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MSIMPSON1</dc:creator>
  <cp:lastModifiedBy>Robert McKay</cp:lastModifiedBy>
  <cp:revision>2</cp:revision>
  <dcterms:created xsi:type="dcterms:W3CDTF">2020-02-27T19:33:00Z</dcterms:created>
  <dcterms:modified xsi:type="dcterms:W3CDTF">2020-02-27T19:33:00Z</dcterms:modified>
</cp:coreProperties>
</file>